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0" w:type="dxa"/>
          <w:right w:w="0" w:type="dxa"/>
        </w:tblCellMar>
        <w:tblLook w:val="0000" w:firstRow="0" w:lastRow="0" w:firstColumn="0" w:lastColumn="0" w:noHBand="0" w:noVBand="0"/>
      </w:tblPr>
      <w:tblGrid>
        <w:gridCol w:w="8640"/>
      </w:tblGrid>
      <w:tr w:rsidR="009A6BD2" w:rsidRPr="009A6BD2">
        <w:tblPrEx>
          <w:tblCellMar>
            <w:top w:w="0" w:type="dxa"/>
            <w:left w:w="0" w:type="dxa"/>
            <w:bottom w:w="0" w:type="dxa"/>
            <w:right w:w="0" w:type="dxa"/>
          </w:tblCellMar>
        </w:tblPrEx>
        <w:trPr>
          <w:cantSplit/>
        </w:trPr>
        <w:tc>
          <w:tcPr>
            <w:tcW w:w="8640" w:type="dxa"/>
            <w:tcBorders>
              <w:top w:val="single" w:sz="6" w:space="0" w:color="auto"/>
              <w:left w:val="single" w:sz="6" w:space="0" w:color="auto"/>
              <w:bottom w:val="single" w:sz="6" w:space="0" w:color="auto"/>
              <w:right w:val="single" w:sz="6" w:space="0" w:color="auto"/>
            </w:tcBorders>
            <w:shd w:val="pct5" w:color="000000" w:fill="FFFFFF"/>
          </w:tcPr>
          <w:p w:rsidR="009A6BD2" w:rsidRPr="009A6BD2" w:rsidRDefault="003E2D0F" w:rsidP="009A6BD2">
            <w:pPr>
              <w:pStyle w:val="Corpotesto"/>
              <w:spacing w:before="0" w:after="0"/>
              <w:rPr>
                <w:rFonts w:ascii="Times New Roman" w:hAnsi="Times New Roman"/>
                <w:sz w:val="48"/>
                <w:szCs w:val="48"/>
              </w:rPr>
            </w:pPr>
            <w:bookmarkStart w:id="0" w:name="_GoBack"/>
            <w:bookmarkEnd w:id="0"/>
          </w:p>
          <w:p w:rsidR="009A6BD2" w:rsidRPr="002D79F2" w:rsidRDefault="003E2D0F" w:rsidP="009A6BD2">
            <w:pPr>
              <w:pStyle w:val="Corpotesto"/>
              <w:spacing w:before="0" w:after="0"/>
              <w:rPr>
                <w:rFonts w:ascii="Times New Roman" w:hAnsi="Times New Roman"/>
                <w:sz w:val="48"/>
                <w:szCs w:val="48"/>
              </w:rPr>
            </w:pPr>
          </w:p>
          <w:p w:rsidR="009A6BD2" w:rsidRPr="002D79F2" w:rsidRDefault="003E2D0F">
            <w:pPr>
              <w:widowControl w:val="0"/>
              <w:ind w:firstLine="0"/>
              <w:jc w:val="center"/>
              <w:rPr>
                <w:rFonts w:ascii="Times New Roman" w:hAnsi="Times New Roman" w:cs="Times"/>
                <w:bCs/>
                <w:color w:val="800000"/>
                <w:sz w:val="48"/>
                <w:szCs w:val="80"/>
              </w:rPr>
            </w:pPr>
            <w:r w:rsidRPr="002D79F2">
              <w:rPr>
                <w:rFonts w:ascii="Times New Roman" w:hAnsi="Times New Roman" w:cs="Times"/>
                <w:bCs/>
                <w:color w:val="800000"/>
                <w:sz w:val="48"/>
                <w:szCs w:val="80"/>
              </w:rPr>
              <w:t>Émile Durkheim</w:t>
            </w:r>
          </w:p>
          <w:p w:rsidR="009A6BD2" w:rsidRPr="002D79F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sz w:val="64"/>
              </w:rPr>
            </w:pPr>
            <w:r w:rsidRPr="009A6BD2">
              <w:rPr>
                <w:rFonts w:ascii="Times New Roman" w:hAnsi="Times New Roman" w:cs="Times"/>
                <w:b/>
                <w:bCs/>
                <w:sz w:val="64"/>
                <w:szCs w:val="72"/>
              </w:rPr>
              <w:t>LES FORMES ÉLÉMENTAIRES</w:t>
            </w:r>
            <w:r w:rsidRPr="009A6BD2">
              <w:rPr>
                <w:rFonts w:ascii="Times New Roman" w:hAnsi="Times New Roman" w:cs="Times"/>
                <w:b/>
                <w:bCs/>
                <w:sz w:val="64"/>
                <w:szCs w:val="72"/>
              </w:rPr>
              <w:br/>
              <w:t>DE LA VIE RELIGIEUSE</w:t>
            </w:r>
          </w:p>
          <w:p w:rsidR="009A6BD2" w:rsidRPr="009A6BD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color w:val="FF0000"/>
                <w:sz w:val="36"/>
                <w:szCs w:val="36"/>
              </w:rPr>
            </w:pPr>
            <w:r w:rsidRPr="009A6BD2">
              <w:rPr>
                <w:rFonts w:ascii="Times New Roman" w:hAnsi="Times New Roman" w:cs="Times"/>
                <w:color w:val="FF0000"/>
                <w:sz w:val="36"/>
                <w:szCs w:val="36"/>
              </w:rPr>
              <w:t>Le système totémique en Australie</w:t>
            </w:r>
          </w:p>
          <w:p w:rsidR="009A6BD2" w:rsidRPr="009A6BD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b/>
                <w:bCs/>
                <w:sz w:val="36"/>
                <w:szCs w:val="36"/>
              </w:rPr>
            </w:pPr>
            <w:r w:rsidRPr="009A6BD2">
              <w:rPr>
                <w:rFonts w:ascii="Times New Roman" w:hAnsi="Times New Roman" w:cs="Times"/>
                <w:b/>
                <w:bCs/>
                <w:sz w:val="36"/>
                <w:szCs w:val="36"/>
              </w:rPr>
              <w:t>Livre II : Les croyances élémentaires</w:t>
            </w:r>
          </w:p>
          <w:p w:rsidR="009A6BD2" w:rsidRPr="009A6BD2" w:rsidRDefault="003E2D0F">
            <w:pPr>
              <w:widowControl w:val="0"/>
              <w:ind w:firstLine="0"/>
              <w:jc w:val="center"/>
              <w:rPr>
                <w:rFonts w:ascii="Times New Roman" w:hAnsi="Times New Roman" w:cs="Times"/>
              </w:rPr>
            </w:pPr>
          </w:p>
          <w:p w:rsidR="009A6BD2" w:rsidRPr="009A6BD2" w:rsidRDefault="003E2D0F">
            <w:pPr>
              <w:pStyle w:val="tableautitre"/>
              <w:widowControl w:val="0"/>
              <w:rPr>
                <w:rFonts w:ascii="Times New Roman" w:hAnsi="Times New Roman"/>
              </w:rPr>
            </w:pPr>
            <w:r w:rsidRPr="009A6BD2">
              <w:rPr>
                <w:rFonts w:ascii="Times New Roman" w:hAnsi="Times New Roman"/>
              </w:rPr>
              <w:t>Livre 2e de 3.</w:t>
            </w:r>
          </w:p>
          <w:p w:rsidR="009A6BD2" w:rsidRPr="009A6BD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rPr>
            </w:pPr>
          </w:p>
          <w:p w:rsidR="009A6BD2" w:rsidRPr="009A6BD2" w:rsidRDefault="003E2D0F">
            <w:pPr>
              <w:widowControl w:val="0"/>
              <w:ind w:firstLine="0"/>
              <w:jc w:val="center"/>
              <w:rPr>
                <w:rFonts w:ascii="Times New Roman" w:hAnsi="Times New Roman" w:cs="Times"/>
              </w:rPr>
            </w:pPr>
          </w:p>
          <w:p w:rsidR="009A6BD2" w:rsidRPr="002D79F2" w:rsidRDefault="003E2D0F">
            <w:pPr>
              <w:ind w:firstLine="0"/>
              <w:jc w:val="center"/>
              <w:rPr>
                <w:rFonts w:ascii="Times New Roman" w:hAnsi="Times New Roman" w:cs="Times New Roman"/>
                <w:sz w:val="20"/>
                <w:szCs w:val="20"/>
              </w:rPr>
            </w:pPr>
            <w:r w:rsidRPr="002D79F2">
              <w:rPr>
                <w:rFonts w:ascii="Times New Roman" w:hAnsi="Times New Roman" w:cs="Times New Roman"/>
                <w:sz w:val="20"/>
                <w:szCs w:val="20"/>
              </w:rPr>
              <w:t>Un document produit en version numérique par Jean-Marie Tremblay,</w:t>
            </w:r>
          </w:p>
          <w:p w:rsidR="009A6BD2" w:rsidRPr="002D79F2" w:rsidRDefault="003E2D0F">
            <w:pPr>
              <w:ind w:firstLine="0"/>
              <w:jc w:val="center"/>
              <w:rPr>
                <w:rFonts w:ascii="Times New Roman" w:hAnsi="Times New Roman" w:cs="Times New Roman"/>
                <w:sz w:val="20"/>
                <w:szCs w:val="20"/>
              </w:rPr>
            </w:pPr>
            <w:r w:rsidRPr="002D79F2">
              <w:rPr>
                <w:rFonts w:ascii="Times New Roman" w:hAnsi="Times New Roman" w:cs="Times New Roman"/>
                <w:sz w:val="20"/>
                <w:szCs w:val="20"/>
              </w:rPr>
              <w:t>professeur de sociologie au Cége</w:t>
            </w:r>
            <w:r w:rsidRPr="002D79F2">
              <w:rPr>
                <w:rFonts w:ascii="Times New Roman" w:hAnsi="Times New Roman" w:cs="Times New Roman"/>
                <w:sz w:val="20"/>
                <w:szCs w:val="20"/>
              </w:rPr>
              <w:t>p de Chicoutimi</w:t>
            </w:r>
          </w:p>
          <w:p w:rsidR="009A6BD2" w:rsidRPr="002D79F2" w:rsidRDefault="003E2D0F">
            <w:pPr>
              <w:ind w:firstLine="0"/>
              <w:jc w:val="center"/>
              <w:rPr>
                <w:rFonts w:ascii="Times New Roman" w:hAnsi="Times New Roman" w:cs="Times New Roman"/>
                <w:sz w:val="20"/>
                <w:szCs w:val="20"/>
              </w:rPr>
            </w:pPr>
            <w:r w:rsidRPr="002D79F2">
              <w:rPr>
                <w:rFonts w:ascii="Times New Roman" w:hAnsi="Times New Roman" w:cs="Times New Roman"/>
                <w:sz w:val="20"/>
                <w:szCs w:val="20"/>
              </w:rPr>
              <w:t>Courriel: jmt_sociologue@videotron.ca</w:t>
            </w:r>
          </w:p>
          <w:p w:rsidR="009A6BD2" w:rsidRPr="002D79F2" w:rsidRDefault="003E2D0F">
            <w:pPr>
              <w:ind w:firstLine="0"/>
              <w:jc w:val="center"/>
              <w:rPr>
                <w:rFonts w:ascii="Times New Roman" w:hAnsi="Times New Roman" w:cs="Times New Roman"/>
                <w:sz w:val="20"/>
                <w:szCs w:val="20"/>
              </w:rPr>
            </w:pPr>
            <w:r w:rsidRPr="002D79F2">
              <w:rPr>
                <w:rFonts w:ascii="Times New Roman" w:hAnsi="Times New Roman" w:cs="Times New Roman"/>
                <w:sz w:val="20"/>
                <w:szCs w:val="20"/>
              </w:rPr>
              <w:t xml:space="preserve">Site web: </w:t>
            </w:r>
            <w:hyperlink r:id="rId6" w:history="1">
              <w:r w:rsidRPr="002D79F2">
                <w:rPr>
                  <w:rStyle w:val="Collegamentoipertestuale"/>
                  <w:rFonts w:ascii="Times New Roman" w:hAnsi="Times New Roman" w:cs="Times New Roman"/>
                  <w:sz w:val="20"/>
                  <w:szCs w:val="20"/>
                </w:rPr>
                <w:t>http://pages.infinit.net/sociojmt</w:t>
              </w:r>
            </w:hyperlink>
          </w:p>
          <w:p w:rsidR="009A6BD2" w:rsidRPr="002D79F2" w:rsidRDefault="003E2D0F">
            <w:pPr>
              <w:ind w:firstLine="0"/>
              <w:jc w:val="center"/>
              <w:rPr>
                <w:rFonts w:ascii="Times New Roman" w:hAnsi="Times New Roman" w:cs="Times New Roman"/>
                <w:sz w:val="20"/>
                <w:szCs w:val="20"/>
              </w:rPr>
            </w:pPr>
          </w:p>
          <w:p w:rsidR="009A6BD2" w:rsidRPr="002D79F2" w:rsidRDefault="003E2D0F">
            <w:pPr>
              <w:ind w:firstLine="0"/>
              <w:jc w:val="center"/>
              <w:rPr>
                <w:rFonts w:ascii="Times New Roman" w:hAnsi="Times New Roman"/>
                <w:sz w:val="20"/>
              </w:rPr>
            </w:pPr>
            <w:r w:rsidRPr="002D79F2">
              <w:rPr>
                <w:rFonts w:ascii="Times New Roman" w:hAnsi="Times New Roman"/>
                <w:sz w:val="20"/>
              </w:rPr>
              <w:t>Dans le cadre de: "Les classiques des sciences sociales"</w:t>
            </w:r>
          </w:p>
          <w:p w:rsidR="009A6BD2" w:rsidRPr="002D79F2" w:rsidRDefault="003E2D0F">
            <w:pPr>
              <w:ind w:firstLine="0"/>
              <w:jc w:val="center"/>
              <w:rPr>
                <w:rFonts w:ascii="Times New Roman" w:hAnsi="Times New Roman"/>
                <w:sz w:val="20"/>
              </w:rPr>
            </w:pPr>
            <w:r w:rsidRPr="002D79F2">
              <w:rPr>
                <w:rFonts w:ascii="Times New Roman" w:hAnsi="Times New Roman"/>
                <w:sz w:val="20"/>
              </w:rPr>
              <w:t xml:space="preserve">Une bibliothèque numérique fondée et dirigée par </w:t>
            </w:r>
            <w:r w:rsidRPr="002D79F2">
              <w:rPr>
                <w:rFonts w:ascii="Times New Roman" w:hAnsi="Times New Roman"/>
                <w:sz w:val="20"/>
              </w:rPr>
              <w:t xml:space="preserve">Jean-Marie Tremblay, </w:t>
            </w:r>
          </w:p>
          <w:p w:rsidR="009A6BD2" w:rsidRPr="002D79F2" w:rsidRDefault="003E2D0F">
            <w:pPr>
              <w:ind w:firstLine="0"/>
              <w:jc w:val="center"/>
              <w:rPr>
                <w:rFonts w:ascii="Times New Roman" w:hAnsi="Times New Roman"/>
                <w:sz w:val="20"/>
              </w:rPr>
            </w:pPr>
            <w:r w:rsidRPr="002D79F2">
              <w:rPr>
                <w:rFonts w:ascii="Times New Roman" w:hAnsi="Times New Roman"/>
                <w:sz w:val="20"/>
              </w:rPr>
              <w:t>professeur de sociologie au Cégep de Chicoutimi</w:t>
            </w:r>
            <w:r w:rsidRPr="002D79F2">
              <w:rPr>
                <w:sz w:val="20"/>
              </w:rPr>
              <w:br/>
            </w:r>
            <w:r w:rsidRPr="002D79F2">
              <w:rPr>
                <w:rFonts w:ascii="Times New Roman" w:hAnsi="Times New Roman"/>
                <w:sz w:val="20"/>
              </w:rPr>
              <w:t xml:space="preserve">Site web: </w:t>
            </w:r>
            <w:hyperlink r:id="rId7" w:history="1">
              <w:r w:rsidRPr="002D79F2">
                <w:rPr>
                  <w:rStyle w:val="Collegamentoipertestuale"/>
                  <w:rFonts w:ascii="Times New Roman" w:hAnsi="Times New Roman"/>
                  <w:sz w:val="20"/>
                </w:rPr>
                <w:t>http://classiques.uqac.ca/</w:t>
              </w:r>
            </w:hyperlink>
          </w:p>
          <w:p w:rsidR="009A6BD2" w:rsidRPr="002D79F2" w:rsidRDefault="003E2D0F">
            <w:pPr>
              <w:ind w:firstLine="0"/>
              <w:jc w:val="center"/>
              <w:rPr>
                <w:rFonts w:ascii="Times New Roman" w:hAnsi="Times New Roman" w:cs="Times New Roman"/>
                <w:sz w:val="20"/>
                <w:szCs w:val="20"/>
              </w:rPr>
            </w:pPr>
          </w:p>
          <w:p w:rsidR="009A6BD2" w:rsidRPr="002D79F2" w:rsidRDefault="003E2D0F">
            <w:pPr>
              <w:ind w:firstLine="0"/>
              <w:jc w:val="center"/>
              <w:rPr>
                <w:rFonts w:ascii="Times New Roman" w:hAnsi="Times New Roman" w:cs="Times New Roman"/>
                <w:sz w:val="20"/>
                <w:szCs w:val="20"/>
              </w:rPr>
            </w:pPr>
            <w:r w:rsidRPr="002D79F2">
              <w:rPr>
                <w:rFonts w:ascii="Times New Roman" w:hAnsi="Times New Roman" w:cs="Times New Roman"/>
                <w:sz w:val="20"/>
                <w:szCs w:val="20"/>
              </w:rPr>
              <w:t>Une collection développée en collaboration avec la Bibliothèque</w:t>
            </w:r>
          </w:p>
          <w:p w:rsidR="009A6BD2" w:rsidRPr="002D79F2" w:rsidRDefault="003E2D0F">
            <w:pPr>
              <w:ind w:firstLine="0"/>
              <w:jc w:val="center"/>
              <w:rPr>
                <w:rFonts w:ascii="Times New Roman" w:hAnsi="Times New Roman" w:cs="Times New Roman"/>
                <w:sz w:val="20"/>
                <w:szCs w:val="20"/>
              </w:rPr>
            </w:pPr>
            <w:r w:rsidRPr="002D79F2">
              <w:rPr>
                <w:rFonts w:ascii="Times New Roman" w:hAnsi="Times New Roman" w:cs="Times New Roman"/>
                <w:sz w:val="20"/>
                <w:szCs w:val="20"/>
              </w:rPr>
              <w:t>Paul-Émile-Boulet de l’Université du Qué</w:t>
            </w:r>
            <w:r w:rsidRPr="002D79F2">
              <w:rPr>
                <w:rFonts w:ascii="Times New Roman" w:hAnsi="Times New Roman" w:cs="Times New Roman"/>
                <w:sz w:val="20"/>
                <w:szCs w:val="20"/>
              </w:rPr>
              <w:t>bec à Chicoutimi</w:t>
            </w:r>
          </w:p>
          <w:p w:rsidR="009A6BD2" w:rsidRPr="002D79F2" w:rsidRDefault="003E2D0F" w:rsidP="009A6BD2">
            <w:pPr>
              <w:widowControl w:val="0"/>
              <w:ind w:firstLine="0"/>
              <w:jc w:val="center"/>
              <w:rPr>
                <w:rFonts w:ascii="Times New Roman" w:hAnsi="Times New Roman" w:cs="Times New Roman"/>
                <w:sz w:val="20"/>
                <w:szCs w:val="20"/>
              </w:rPr>
            </w:pPr>
            <w:r w:rsidRPr="002D79F2">
              <w:rPr>
                <w:rFonts w:ascii="Times New Roman" w:hAnsi="Times New Roman"/>
                <w:sz w:val="20"/>
              </w:rPr>
              <w:t xml:space="preserve">Site web: </w:t>
            </w:r>
            <w:hyperlink r:id="rId8" w:history="1">
              <w:r w:rsidRPr="002D79F2">
                <w:rPr>
                  <w:rStyle w:val="Collegamentoipertestuale"/>
                  <w:rFonts w:ascii="Times New Roman" w:hAnsi="Times New Roman"/>
                  <w:sz w:val="20"/>
                </w:rPr>
                <w:t>http://bibliotheque.uqac.ca/</w:t>
              </w:r>
            </w:hyperlink>
          </w:p>
          <w:p w:rsidR="009A6BD2" w:rsidRPr="009A6BD2" w:rsidRDefault="003E2D0F">
            <w:pPr>
              <w:widowControl w:val="0"/>
              <w:ind w:firstLine="0"/>
              <w:jc w:val="both"/>
              <w:rPr>
                <w:rFonts w:ascii="Times New Roman" w:hAnsi="Times New Roman" w:cs="Times"/>
              </w:rPr>
            </w:pPr>
          </w:p>
          <w:p w:rsidR="009A6BD2" w:rsidRPr="009A6BD2" w:rsidRDefault="003E2D0F">
            <w:pPr>
              <w:widowControl w:val="0"/>
              <w:ind w:firstLine="0"/>
              <w:jc w:val="both"/>
              <w:rPr>
                <w:rFonts w:ascii="Times New Roman" w:hAnsi="Times New Roman" w:cs="Times"/>
              </w:rPr>
            </w:pPr>
          </w:p>
          <w:p w:rsidR="009A6BD2" w:rsidRPr="009A6BD2" w:rsidRDefault="003E2D0F">
            <w:pPr>
              <w:widowControl w:val="0"/>
              <w:ind w:left="180" w:right="180"/>
              <w:jc w:val="both"/>
              <w:rPr>
                <w:rFonts w:ascii="Times" w:hAnsi="Times" w:cs="Times"/>
                <w:i/>
                <w:iCs/>
              </w:rPr>
            </w:pPr>
          </w:p>
        </w:tc>
      </w:tr>
    </w:tbl>
    <w:p w:rsidR="009A6BD2" w:rsidRPr="005E1FF1" w:rsidRDefault="003E2D0F">
      <w:pPr>
        <w:widowControl w:val="0"/>
        <w:autoSpaceDE w:val="0"/>
        <w:autoSpaceDN w:val="0"/>
        <w:adjustRightInd w:val="0"/>
        <w:rPr>
          <w:rFonts w:ascii="Arial" w:hAnsi="Arial"/>
          <w:sz w:val="32"/>
          <w:szCs w:val="32"/>
        </w:rPr>
      </w:pPr>
      <w:r w:rsidRPr="009A6BD2">
        <w:rPr>
          <w:rFonts w:ascii="Times New Roman" w:hAnsi="Times New Roman" w:cs="Times"/>
        </w:rPr>
        <w:br w:type="page"/>
      </w:r>
    </w:p>
    <w:p w:rsidR="009A6BD2" w:rsidRPr="005E1FF1" w:rsidRDefault="003E2D0F">
      <w:pPr>
        <w:widowControl w:val="0"/>
        <w:autoSpaceDE w:val="0"/>
        <w:autoSpaceDN w:val="0"/>
        <w:adjustRightInd w:val="0"/>
        <w:jc w:val="center"/>
        <w:rPr>
          <w:rFonts w:ascii="Arial" w:hAnsi="Arial"/>
          <w:b/>
          <w:color w:val="008B00"/>
          <w:sz w:val="36"/>
          <w:szCs w:val="36"/>
        </w:rPr>
      </w:pPr>
      <w:r w:rsidRPr="005E1FF1">
        <w:rPr>
          <w:rFonts w:ascii="Arial" w:hAnsi="Arial"/>
          <w:b/>
          <w:color w:val="008B00"/>
          <w:sz w:val="36"/>
          <w:szCs w:val="36"/>
        </w:rPr>
        <w:t>Politique d'utilisation</w:t>
      </w:r>
      <w:r w:rsidRPr="005E1FF1">
        <w:rPr>
          <w:rFonts w:ascii="Arial-BoldMT" w:hAnsi="Arial-BoldMT"/>
          <w:b/>
          <w:color w:val="008B00"/>
          <w:sz w:val="36"/>
          <w:szCs w:val="36"/>
        </w:rPr>
        <w:br/>
      </w:r>
      <w:r w:rsidRPr="005E1FF1">
        <w:rPr>
          <w:rFonts w:ascii="Arial" w:hAnsi="Arial"/>
          <w:b/>
          <w:color w:val="008B00"/>
          <w:sz w:val="36"/>
          <w:szCs w:val="36"/>
        </w:rPr>
        <w:t>de la bibliothèque des Classiques</w:t>
      </w:r>
    </w:p>
    <w:p w:rsidR="009A6BD2" w:rsidRPr="005E1FF1" w:rsidRDefault="003E2D0F">
      <w:pPr>
        <w:widowControl w:val="0"/>
        <w:autoSpaceDE w:val="0"/>
        <w:autoSpaceDN w:val="0"/>
        <w:adjustRightInd w:val="0"/>
        <w:rPr>
          <w:rFonts w:ascii="Arial" w:hAnsi="Arial"/>
          <w:sz w:val="32"/>
          <w:szCs w:val="32"/>
        </w:rPr>
      </w:pPr>
    </w:p>
    <w:p w:rsidR="009A6BD2" w:rsidRPr="005E1FF1" w:rsidRDefault="003E2D0F">
      <w:pPr>
        <w:widowControl w:val="0"/>
        <w:autoSpaceDE w:val="0"/>
        <w:autoSpaceDN w:val="0"/>
        <w:adjustRightInd w:val="0"/>
        <w:rPr>
          <w:rFonts w:ascii="Arial" w:hAnsi="Arial"/>
          <w:color w:val="1C1C1C"/>
          <w:sz w:val="26"/>
          <w:szCs w:val="26"/>
        </w:rPr>
      </w:pPr>
    </w:p>
    <w:p w:rsidR="009A6BD2" w:rsidRPr="005E1FF1" w:rsidRDefault="003E2D0F">
      <w:pPr>
        <w:widowControl w:val="0"/>
        <w:autoSpaceDE w:val="0"/>
        <w:autoSpaceDN w:val="0"/>
        <w:adjustRightInd w:val="0"/>
        <w:rPr>
          <w:rFonts w:ascii="Arial" w:hAnsi="Arial"/>
          <w:color w:val="1C1C1C"/>
          <w:sz w:val="26"/>
          <w:szCs w:val="26"/>
        </w:rPr>
      </w:pPr>
    </w:p>
    <w:p w:rsidR="009A6BD2" w:rsidRPr="005E1FF1" w:rsidRDefault="003E2D0F">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Toute reproduction et rediffusion de nos fichiers est inte</w:t>
      </w:r>
      <w:r w:rsidRPr="005E1FF1">
        <w:rPr>
          <w:rFonts w:ascii="Arial" w:hAnsi="Arial"/>
          <w:color w:val="1C1C1C"/>
          <w:sz w:val="26"/>
          <w:szCs w:val="26"/>
        </w:rPr>
        <w:t>r</w:t>
      </w:r>
      <w:r w:rsidRPr="005E1FF1">
        <w:rPr>
          <w:rFonts w:ascii="Arial" w:hAnsi="Arial"/>
          <w:color w:val="1C1C1C"/>
          <w:sz w:val="26"/>
          <w:szCs w:val="26"/>
        </w:rPr>
        <w:t>dite, même avec la mention d</w:t>
      </w:r>
      <w:r w:rsidRPr="005E1FF1">
        <w:rPr>
          <w:rFonts w:ascii="Arial" w:hAnsi="Arial"/>
          <w:color w:val="1C1C1C"/>
          <w:sz w:val="26"/>
          <w:szCs w:val="26"/>
        </w:rPr>
        <w:t>e leur provenance, sans l’autorisation fo</w:t>
      </w:r>
      <w:r w:rsidRPr="005E1FF1">
        <w:rPr>
          <w:rFonts w:ascii="Arial" w:hAnsi="Arial"/>
          <w:color w:val="1C1C1C"/>
          <w:sz w:val="26"/>
          <w:szCs w:val="26"/>
        </w:rPr>
        <w:t>r</w:t>
      </w:r>
      <w:r w:rsidRPr="005E1FF1">
        <w:rPr>
          <w:rFonts w:ascii="Arial" w:hAnsi="Arial"/>
          <w:color w:val="1C1C1C"/>
          <w:sz w:val="26"/>
          <w:szCs w:val="26"/>
        </w:rPr>
        <w:t>melle, écrite, du fondateur des Classiques des sciences sociales, Jean-Marie Tremblay, sociologue.</w:t>
      </w:r>
    </w:p>
    <w:p w:rsidR="009A6BD2" w:rsidRPr="005E1FF1" w:rsidRDefault="003E2D0F">
      <w:pPr>
        <w:widowControl w:val="0"/>
        <w:autoSpaceDE w:val="0"/>
        <w:autoSpaceDN w:val="0"/>
        <w:adjustRightInd w:val="0"/>
        <w:rPr>
          <w:rFonts w:ascii="Arial" w:hAnsi="Arial"/>
          <w:color w:val="1C1C1C"/>
          <w:sz w:val="26"/>
          <w:szCs w:val="26"/>
        </w:rPr>
      </w:pPr>
    </w:p>
    <w:p w:rsidR="009A6BD2" w:rsidRPr="00F336C5" w:rsidRDefault="003E2D0F" w:rsidP="009A6BD2">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Les fichiers des Classiques des sciences sociales ne peuvent sans autorisation formelle:</w:t>
      </w:r>
    </w:p>
    <w:p w:rsidR="009A6BD2" w:rsidRPr="00F336C5" w:rsidRDefault="003E2D0F" w:rsidP="009A6BD2">
      <w:pPr>
        <w:widowControl w:val="0"/>
        <w:autoSpaceDE w:val="0"/>
        <w:autoSpaceDN w:val="0"/>
        <w:adjustRightInd w:val="0"/>
        <w:rPr>
          <w:rFonts w:ascii="Arial" w:hAnsi="Arial"/>
          <w:color w:val="1C1C1C"/>
          <w:sz w:val="26"/>
          <w:szCs w:val="26"/>
        </w:rPr>
      </w:pPr>
    </w:p>
    <w:p w:rsidR="009A6BD2" w:rsidRPr="00F336C5" w:rsidRDefault="003E2D0F" w:rsidP="009A6BD2">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être hébergés (en fich</w:t>
      </w:r>
      <w:r w:rsidRPr="00F336C5">
        <w:rPr>
          <w:rFonts w:ascii="Arial" w:hAnsi="Arial"/>
          <w:color w:val="1C1C1C"/>
          <w:sz w:val="26"/>
          <w:szCs w:val="26"/>
        </w:rPr>
        <w:t>ier ou page web, en totalité ou en partie) sur un serveur autre que celui des Classiques.</w:t>
      </w:r>
    </w:p>
    <w:p w:rsidR="009A6BD2" w:rsidRPr="00F336C5" w:rsidRDefault="003E2D0F" w:rsidP="009A6BD2">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servir de base de travail à un autre fichier modifié ensuite par tout autre moyen (couleur, police, mise en page, extraits, support, etc...),</w:t>
      </w:r>
    </w:p>
    <w:p w:rsidR="009A6BD2" w:rsidRPr="00F336C5" w:rsidRDefault="003E2D0F" w:rsidP="009A6BD2">
      <w:pPr>
        <w:widowControl w:val="0"/>
        <w:autoSpaceDE w:val="0"/>
        <w:autoSpaceDN w:val="0"/>
        <w:adjustRightInd w:val="0"/>
        <w:rPr>
          <w:rFonts w:ascii="Arial" w:hAnsi="Arial"/>
          <w:color w:val="1C1C1C"/>
          <w:sz w:val="26"/>
          <w:szCs w:val="26"/>
        </w:rPr>
      </w:pPr>
    </w:p>
    <w:p w:rsidR="009A6BD2" w:rsidRPr="005E1FF1" w:rsidRDefault="003E2D0F">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 xml:space="preserve">Les fichiers (.html, </w:t>
      </w:r>
      <w:r w:rsidRPr="005E1FF1">
        <w:rPr>
          <w:rFonts w:ascii="Arial" w:hAnsi="Arial"/>
          <w:color w:val="1C1C1C"/>
          <w:sz w:val="26"/>
          <w:szCs w:val="26"/>
        </w:rPr>
        <w:t xml:space="preserve">.doc, .pdf., .rtf, .jpg, .gif) disponibles sur le site Les Classiques des sciences sociales sont la propriété des </w:t>
      </w:r>
      <w:r w:rsidRPr="00B56B8B">
        <w:rPr>
          <w:rFonts w:ascii="Arial" w:hAnsi="Arial"/>
          <w:b/>
          <w:color w:val="1C1C1C"/>
          <w:sz w:val="26"/>
          <w:szCs w:val="26"/>
        </w:rPr>
        <w:t>Class</w:t>
      </w:r>
      <w:r w:rsidRPr="00B56B8B">
        <w:rPr>
          <w:rFonts w:ascii="Arial" w:hAnsi="Arial"/>
          <w:b/>
          <w:color w:val="1C1C1C"/>
          <w:sz w:val="26"/>
          <w:szCs w:val="26"/>
        </w:rPr>
        <w:t>i</w:t>
      </w:r>
      <w:r w:rsidRPr="00B56B8B">
        <w:rPr>
          <w:rFonts w:ascii="Arial" w:hAnsi="Arial"/>
          <w:b/>
          <w:color w:val="1C1C1C"/>
          <w:sz w:val="26"/>
          <w:szCs w:val="26"/>
        </w:rPr>
        <w:t>ques des sciences sociales</w:t>
      </w:r>
      <w:r w:rsidRPr="005E1FF1">
        <w:rPr>
          <w:rFonts w:ascii="Arial" w:hAnsi="Arial"/>
          <w:color w:val="1C1C1C"/>
          <w:sz w:val="26"/>
          <w:szCs w:val="26"/>
        </w:rPr>
        <w:t>, un organisme à but non lucratif co</w:t>
      </w:r>
      <w:r w:rsidRPr="005E1FF1">
        <w:rPr>
          <w:rFonts w:ascii="Arial" w:hAnsi="Arial"/>
          <w:color w:val="1C1C1C"/>
          <w:sz w:val="26"/>
          <w:szCs w:val="26"/>
        </w:rPr>
        <w:t>m</w:t>
      </w:r>
      <w:r w:rsidRPr="005E1FF1">
        <w:rPr>
          <w:rFonts w:ascii="Arial" w:hAnsi="Arial"/>
          <w:color w:val="1C1C1C"/>
          <w:sz w:val="26"/>
          <w:szCs w:val="26"/>
        </w:rPr>
        <w:t>posé exclusivement de bénévoles.</w:t>
      </w:r>
    </w:p>
    <w:p w:rsidR="009A6BD2" w:rsidRPr="005E1FF1" w:rsidRDefault="003E2D0F">
      <w:pPr>
        <w:widowControl w:val="0"/>
        <w:autoSpaceDE w:val="0"/>
        <w:autoSpaceDN w:val="0"/>
        <w:adjustRightInd w:val="0"/>
        <w:rPr>
          <w:rFonts w:ascii="Arial" w:hAnsi="Arial"/>
          <w:color w:val="1C1C1C"/>
          <w:sz w:val="26"/>
          <w:szCs w:val="26"/>
        </w:rPr>
      </w:pPr>
    </w:p>
    <w:p w:rsidR="009A6BD2" w:rsidRPr="005E1FF1" w:rsidRDefault="003E2D0F">
      <w:pPr>
        <w:rPr>
          <w:rFonts w:ascii="Arial" w:hAnsi="Arial"/>
          <w:color w:val="1C1C1C"/>
          <w:sz w:val="26"/>
          <w:szCs w:val="26"/>
        </w:rPr>
      </w:pPr>
      <w:r w:rsidRPr="005E1FF1">
        <w:rPr>
          <w:rFonts w:ascii="Arial" w:hAnsi="Arial"/>
          <w:color w:val="1C1C1C"/>
          <w:sz w:val="26"/>
          <w:szCs w:val="26"/>
        </w:rPr>
        <w:t>Ils sont disponibles pour une utilisati</w:t>
      </w:r>
      <w:r w:rsidRPr="005E1FF1">
        <w:rPr>
          <w:rFonts w:ascii="Arial" w:hAnsi="Arial"/>
          <w:color w:val="1C1C1C"/>
          <w:sz w:val="26"/>
          <w:szCs w:val="26"/>
        </w:rPr>
        <w:t>on intellectuelle et perso</w:t>
      </w:r>
      <w:r w:rsidRPr="005E1FF1">
        <w:rPr>
          <w:rFonts w:ascii="Arial" w:hAnsi="Arial"/>
          <w:color w:val="1C1C1C"/>
          <w:sz w:val="26"/>
          <w:szCs w:val="26"/>
        </w:rPr>
        <w:t>n</w:t>
      </w:r>
      <w:r w:rsidRPr="005E1FF1">
        <w:rPr>
          <w:rFonts w:ascii="Arial" w:hAnsi="Arial"/>
          <w:color w:val="1C1C1C"/>
          <w:sz w:val="26"/>
          <w:szCs w:val="26"/>
        </w:rPr>
        <w:t>nelle et, en aucun cas, commerciale.</w:t>
      </w:r>
      <w:r w:rsidRPr="00B56B8B">
        <w:rPr>
          <w:rFonts w:ascii="Arial" w:hAnsi="Arial"/>
          <w:color w:val="1C1C1C"/>
          <w:sz w:val="26"/>
          <w:szCs w:val="26"/>
        </w:rPr>
        <w:t xml:space="preserve"> </w:t>
      </w:r>
      <w:r w:rsidRPr="005E1FF1">
        <w:rPr>
          <w:rFonts w:ascii="Arial" w:hAnsi="Arial"/>
          <w:color w:val="1C1C1C"/>
          <w:sz w:val="26"/>
          <w:szCs w:val="26"/>
        </w:rPr>
        <w:t>Toute utilisation à des fins commerciales des fichiers sur ce site est strictement interdite et toute rediffusion est également strictement interdite.</w:t>
      </w:r>
    </w:p>
    <w:p w:rsidR="009A6BD2" w:rsidRPr="005E1FF1" w:rsidRDefault="003E2D0F">
      <w:pPr>
        <w:rPr>
          <w:rFonts w:ascii="Arial" w:hAnsi="Arial"/>
          <w:b/>
          <w:color w:val="1C1C1C"/>
          <w:sz w:val="26"/>
          <w:szCs w:val="26"/>
        </w:rPr>
      </w:pPr>
    </w:p>
    <w:p w:rsidR="009A6BD2" w:rsidRPr="00A51D9C" w:rsidRDefault="003E2D0F">
      <w:pPr>
        <w:rPr>
          <w:rFonts w:ascii="Arial" w:hAnsi="Arial"/>
          <w:b/>
          <w:color w:val="1C1C1C"/>
          <w:sz w:val="26"/>
          <w:szCs w:val="26"/>
        </w:rPr>
      </w:pPr>
      <w:r w:rsidRPr="00A51D9C">
        <w:rPr>
          <w:rFonts w:ascii="Arial" w:hAnsi="Arial"/>
          <w:b/>
          <w:color w:val="1C1C1C"/>
          <w:sz w:val="26"/>
          <w:szCs w:val="26"/>
        </w:rPr>
        <w:t>L'accès à notre travail est libre et gra</w:t>
      </w:r>
      <w:r w:rsidRPr="00A51D9C">
        <w:rPr>
          <w:rFonts w:ascii="Arial" w:hAnsi="Arial"/>
          <w:b/>
          <w:color w:val="1C1C1C"/>
          <w:sz w:val="26"/>
          <w:szCs w:val="26"/>
        </w:rPr>
        <w:t>tuit à tous les utilis</w:t>
      </w:r>
      <w:r w:rsidRPr="00A51D9C">
        <w:rPr>
          <w:rFonts w:ascii="Arial" w:hAnsi="Arial"/>
          <w:b/>
          <w:color w:val="1C1C1C"/>
          <w:sz w:val="26"/>
          <w:szCs w:val="26"/>
        </w:rPr>
        <w:t>a</w:t>
      </w:r>
      <w:r w:rsidRPr="00A51D9C">
        <w:rPr>
          <w:rFonts w:ascii="Arial" w:hAnsi="Arial"/>
          <w:b/>
          <w:color w:val="1C1C1C"/>
          <w:sz w:val="26"/>
          <w:szCs w:val="26"/>
        </w:rPr>
        <w:t>teurs. C'est notre mission.</w:t>
      </w:r>
    </w:p>
    <w:p w:rsidR="009A6BD2" w:rsidRPr="005E1FF1" w:rsidRDefault="003E2D0F">
      <w:pPr>
        <w:rPr>
          <w:rFonts w:ascii="Arial" w:hAnsi="Arial"/>
          <w:b/>
          <w:color w:val="1C1C1C"/>
          <w:sz w:val="26"/>
          <w:szCs w:val="26"/>
        </w:rPr>
      </w:pPr>
    </w:p>
    <w:p w:rsidR="009A6BD2" w:rsidRPr="005E1FF1" w:rsidRDefault="003E2D0F">
      <w:pPr>
        <w:rPr>
          <w:rFonts w:ascii="Arial" w:hAnsi="Arial"/>
          <w:color w:val="1C1C1C"/>
          <w:sz w:val="26"/>
          <w:szCs w:val="26"/>
        </w:rPr>
      </w:pPr>
      <w:r w:rsidRPr="005E1FF1">
        <w:rPr>
          <w:rFonts w:ascii="Arial" w:hAnsi="Arial"/>
          <w:color w:val="1C1C1C"/>
          <w:sz w:val="26"/>
          <w:szCs w:val="26"/>
        </w:rPr>
        <w:t>Jean-Marie Tremblay, sociologue</w:t>
      </w:r>
    </w:p>
    <w:p w:rsidR="009A6BD2" w:rsidRPr="005E1FF1" w:rsidRDefault="003E2D0F">
      <w:pPr>
        <w:rPr>
          <w:rFonts w:ascii="Arial" w:hAnsi="Arial"/>
          <w:color w:val="1C1C1C"/>
          <w:sz w:val="26"/>
          <w:szCs w:val="26"/>
        </w:rPr>
      </w:pPr>
      <w:r w:rsidRPr="005E1FF1">
        <w:rPr>
          <w:rFonts w:ascii="Arial" w:hAnsi="Arial"/>
          <w:color w:val="1C1C1C"/>
          <w:sz w:val="26"/>
          <w:szCs w:val="26"/>
        </w:rPr>
        <w:t>Fondateur et Président-directeur général,</w:t>
      </w:r>
    </w:p>
    <w:p w:rsidR="009A6BD2" w:rsidRPr="005E1FF1" w:rsidRDefault="003E2D0F">
      <w:pPr>
        <w:rPr>
          <w:rFonts w:ascii="Arial" w:hAnsi="Arial"/>
          <w:color w:val="000080"/>
        </w:rPr>
      </w:pPr>
      <w:r w:rsidRPr="005E1FF1">
        <w:rPr>
          <w:rFonts w:ascii="Arial" w:hAnsi="Arial"/>
          <w:color w:val="000080"/>
          <w:sz w:val="26"/>
          <w:szCs w:val="26"/>
        </w:rPr>
        <w:t>LES CLASSIQUES DES SCIENCES SOCIALES.</w:t>
      </w:r>
    </w:p>
    <w:p w:rsidR="009A6BD2" w:rsidRPr="002D79F2" w:rsidRDefault="003E2D0F" w:rsidP="009A6BD2">
      <w:pPr>
        <w:ind w:left="20" w:hanging="20"/>
        <w:jc w:val="both"/>
        <w:rPr>
          <w:rFonts w:ascii="Times New Roman" w:hAnsi="Times New Roman"/>
        </w:rPr>
      </w:pPr>
      <w:r>
        <w:br w:type="page"/>
      </w:r>
      <w:r w:rsidRPr="002D79F2">
        <w:rPr>
          <w:rFonts w:ascii="Times New Roman" w:hAnsi="Times New Roman"/>
        </w:rPr>
        <w:lastRenderedPageBreak/>
        <w:t>Cette édition électronique a été réalisée par Jean-Marie Tremblay, professeur de sociologie</w:t>
      </w:r>
      <w:r w:rsidRPr="002D79F2">
        <w:rPr>
          <w:rFonts w:ascii="Times New Roman" w:hAnsi="Times New Roman"/>
        </w:rPr>
        <w:t xml:space="preserve"> au Cégep de Chicoutimi</w:t>
      </w:r>
    </w:p>
    <w:p w:rsidR="009A6BD2" w:rsidRPr="004E231B" w:rsidRDefault="003E2D0F">
      <w:pPr>
        <w:ind w:right="1800" w:firstLine="0"/>
        <w:rPr>
          <w:rFonts w:ascii="Times New Roman" w:hAnsi="Times New Roman"/>
        </w:rPr>
      </w:pPr>
      <w:r w:rsidRPr="002D79F2">
        <w:rPr>
          <w:rFonts w:ascii="Times New Roman" w:hAnsi="Times New Roman"/>
        </w:rPr>
        <w:t xml:space="preserve">revue et corrigée avec ajout des mots grecs manquants par Bertrand Gibier, bénévole, </w:t>
      </w:r>
      <w:r w:rsidRPr="002D79F2">
        <w:rPr>
          <w:rFonts w:ascii="Times New Roman" w:hAnsi="Times New Roman" w:cs="Times New Roman"/>
          <w:szCs w:val="22"/>
        </w:rPr>
        <w:t xml:space="preserve">professeur de philosophie au Lycée de Montreuil-sur-Mer (dans le Pas-de-Calais), </w:t>
      </w:r>
      <w:hyperlink r:id="rId9" w:history="1">
        <w:r w:rsidRPr="002D79F2">
          <w:rPr>
            <w:rStyle w:val="Collegamentoipertestuale"/>
            <w:rFonts w:ascii="Times New Roman" w:hAnsi="Times New Roman" w:cs="Times New Roman"/>
            <w:szCs w:val="22"/>
          </w:rPr>
          <w:t>bertrand.gibier</w:t>
        </w:r>
        <w:r w:rsidRPr="002D79F2">
          <w:rPr>
            <w:rStyle w:val="Collegamentoipertestuale"/>
            <w:rFonts w:ascii="Times New Roman" w:hAnsi="Times New Roman" w:cs="Times New Roman"/>
            <w:szCs w:val="22"/>
          </w:rPr>
          <w:t>@ac-lille.fr</w:t>
        </w:r>
      </w:hyperlink>
      <w:r w:rsidRPr="002D79F2">
        <w:rPr>
          <w:rFonts w:ascii="Times New Roman" w:hAnsi="Times New Roman" w:cs="Times New Roman"/>
          <w:szCs w:val="22"/>
        </w:rPr>
        <w:t xml:space="preserve"> ,</w:t>
      </w:r>
      <w:r w:rsidRPr="002D79F2">
        <w:rPr>
          <w:rFonts w:ascii="Times New Roman" w:hAnsi="Times New Roman" w:cs="Times New Roman"/>
          <w:szCs w:val="22"/>
        </w:rPr>
        <w:br/>
      </w:r>
    </w:p>
    <w:p w:rsidR="009A6BD2" w:rsidRPr="004E231B" w:rsidRDefault="003E2D0F">
      <w:pPr>
        <w:ind w:right="1800" w:firstLine="0"/>
        <w:rPr>
          <w:rFonts w:ascii="Times New Roman" w:hAnsi="Times New Roman"/>
        </w:rPr>
      </w:pPr>
    </w:p>
    <w:p w:rsidR="009A6BD2" w:rsidRPr="004E231B" w:rsidRDefault="003E2D0F">
      <w:pPr>
        <w:ind w:right="1800" w:firstLine="0"/>
        <w:rPr>
          <w:rFonts w:ascii="Times New Roman" w:hAnsi="Times New Roman"/>
        </w:rPr>
      </w:pPr>
      <w:r w:rsidRPr="004E231B">
        <w:rPr>
          <w:rFonts w:ascii="Times New Roman" w:hAnsi="Times New Roman"/>
        </w:rPr>
        <w:t xml:space="preserve"> à partir de :</w:t>
      </w:r>
    </w:p>
    <w:p w:rsidR="009A6BD2" w:rsidRPr="004E231B" w:rsidRDefault="003E2D0F">
      <w:pPr>
        <w:widowControl w:val="0"/>
        <w:ind w:left="20" w:right="1800" w:hanging="20"/>
        <w:rPr>
          <w:rFonts w:ascii="Times New Roman" w:hAnsi="Times New Roman"/>
        </w:rPr>
      </w:pPr>
    </w:p>
    <w:p w:rsidR="009A6BD2" w:rsidRPr="004E231B" w:rsidRDefault="003E2D0F">
      <w:pPr>
        <w:ind w:right="1800"/>
        <w:jc w:val="both"/>
        <w:rPr>
          <w:rFonts w:ascii="Times New Roman" w:hAnsi="Times New Roman"/>
        </w:rPr>
      </w:pPr>
    </w:p>
    <w:p w:rsidR="009A6BD2" w:rsidRPr="002D79F2" w:rsidRDefault="003E2D0F">
      <w:pPr>
        <w:ind w:right="1800"/>
        <w:jc w:val="both"/>
        <w:rPr>
          <w:rFonts w:ascii="Times New Roman" w:hAnsi="Times New Roman" w:cs="Times"/>
        </w:rPr>
      </w:pPr>
      <w:r w:rsidRPr="002D79F2">
        <w:rPr>
          <w:rFonts w:ascii="Times New Roman" w:hAnsi="Times New Roman" w:cs="Times"/>
        </w:rPr>
        <w:t xml:space="preserve">ÉMILE DURKHEIM (1912), </w:t>
      </w:r>
      <w:r w:rsidRPr="002D79F2">
        <w:rPr>
          <w:rFonts w:ascii="Times New Roman" w:hAnsi="Times New Roman" w:cs="Times"/>
          <w:b/>
          <w:bCs/>
        </w:rPr>
        <w:t>LES FORMES ÉLÉMENTAIRES DE LA VIE RELIGIEUSE. LE SYSTÈME TOTÉMIQUE EN AUSTRALIE</w:t>
      </w:r>
      <w:r w:rsidRPr="002D79F2">
        <w:rPr>
          <w:rFonts w:ascii="Times New Roman" w:hAnsi="Times New Roman" w:cs="Times"/>
        </w:rPr>
        <w:t>.</w:t>
      </w:r>
    </w:p>
    <w:p w:rsidR="009A6BD2" w:rsidRPr="002D79F2" w:rsidRDefault="003E2D0F">
      <w:pPr>
        <w:ind w:right="1800"/>
        <w:jc w:val="both"/>
        <w:rPr>
          <w:rFonts w:ascii="Times New Roman" w:hAnsi="Times New Roman" w:cs="Times"/>
        </w:rPr>
      </w:pPr>
      <w:r w:rsidRPr="002D79F2">
        <w:rPr>
          <w:rFonts w:ascii="Times New Roman" w:hAnsi="Times New Roman" w:cs="Times"/>
          <w:b/>
        </w:rPr>
        <w:t>Livre II. Les croyances élémentaires</w:t>
      </w:r>
      <w:r w:rsidRPr="002D79F2">
        <w:rPr>
          <w:rFonts w:ascii="Times New Roman" w:hAnsi="Times New Roman" w:cs="Times"/>
        </w:rPr>
        <w:t xml:space="preserve"> (pp. 139-424 de l’édition papier).</w:t>
      </w:r>
    </w:p>
    <w:p w:rsidR="009A6BD2" w:rsidRPr="002D79F2" w:rsidRDefault="003E2D0F">
      <w:pPr>
        <w:ind w:right="1800"/>
        <w:jc w:val="both"/>
        <w:rPr>
          <w:rFonts w:ascii="Times New Roman" w:hAnsi="Times New Roman" w:cs="Times"/>
        </w:rPr>
      </w:pPr>
    </w:p>
    <w:p w:rsidR="009A6BD2" w:rsidRPr="004E231B" w:rsidRDefault="003E2D0F">
      <w:pPr>
        <w:ind w:right="1800"/>
        <w:jc w:val="both"/>
        <w:rPr>
          <w:rFonts w:ascii="Times New Roman" w:hAnsi="Times New Roman"/>
        </w:rPr>
      </w:pPr>
      <w:r w:rsidRPr="002D79F2">
        <w:rPr>
          <w:rFonts w:ascii="Times New Roman" w:hAnsi="Times New Roman" w:cs="Times"/>
        </w:rPr>
        <w:t>Paris, Les Presses universitaires de France,</w:t>
      </w:r>
      <w:r w:rsidRPr="002D79F2">
        <w:rPr>
          <w:rFonts w:ascii="Times New Roman" w:hAnsi="Times New Roman" w:cs="Times"/>
        </w:rPr>
        <w:t xml:space="preserve"> 1968, cinquième édition, 647 pages. Collection “Bibliothèque de philosophie contemporaine.</w:t>
      </w:r>
    </w:p>
    <w:p w:rsidR="009A6BD2" w:rsidRPr="004E231B" w:rsidRDefault="003E2D0F">
      <w:pPr>
        <w:ind w:right="1800"/>
        <w:jc w:val="both"/>
        <w:rPr>
          <w:rFonts w:ascii="Times New Roman" w:hAnsi="Times New Roman"/>
        </w:rPr>
      </w:pPr>
    </w:p>
    <w:p w:rsidR="009A6BD2" w:rsidRPr="004E231B" w:rsidRDefault="003E2D0F">
      <w:pPr>
        <w:ind w:right="1800" w:firstLine="0"/>
        <w:jc w:val="both"/>
        <w:rPr>
          <w:rFonts w:ascii="Times New Roman" w:hAnsi="Times New Roman"/>
        </w:rPr>
      </w:pPr>
      <w:r w:rsidRPr="004E231B">
        <w:rPr>
          <w:rFonts w:ascii="Times New Roman" w:hAnsi="Times New Roman"/>
        </w:rPr>
        <w:t>Polices de caractères utilisée :</w:t>
      </w:r>
    </w:p>
    <w:p w:rsidR="009A6BD2" w:rsidRPr="004E231B" w:rsidRDefault="003E2D0F">
      <w:pPr>
        <w:ind w:right="1800" w:firstLine="0"/>
        <w:jc w:val="both"/>
        <w:rPr>
          <w:rFonts w:ascii="Times New Roman" w:hAnsi="Times New Roman"/>
        </w:rPr>
      </w:pPr>
    </w:p>
    <w:p w:rsidR="009A6BD2" w:rsidRPr="000E450A" w:rsidRDefault="003E2D0F" w:rsidP="009A6BD2">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 texte: Times New Roman 12 points.</w:t>
      </w:r>
    </w:p>
    <w:p w:rsidR="009A6BD2" w:rsidRPr="000E450A" w:rsidRDefault="003E2D0F" w:rsidP="009A6BD2">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les notes de bas de page : Times New Roman 10 points.</w:t>
      </w:r>
    </w:p>
    <w:p w:rsidR="009A6BD2" w:rsidRPr="004E231B" w:rsidRDefault="003E2D0F">
      <w:pPr>
        <w:ind w:left="360" w:right="1800" w:firstLine="0"/>
        <w:jc w:val="both"/>
        <w:rPr>
          <w:rFonts w:ascii="Times New Roman" w:hAnsi="Times New Roman"/>
        </w:rPr>
      </w:pPr>
    </w:p>
    <w:p w:rsidR="009A6BD2" w:rsidRPr="004E231B" w:rsidRDefault="003E2D0F">
      <w:pPr>
        <w:ind w:left="360" w:right="1800" w:firstLine="0"/>
        <w:jc w:val="both"/>
        <w:rPr>
          <w:rFonts w:ascii="Times New Roman" w:hAnsi="Times New Roman"/>
        </w:rPr>
      </w:pPr>
    </w:p>
    <w:p w:rsidR="009A6BD2" w:rsidRPr="004E231B" w:rsidRDefault="003E2D0F">
      <w:pPr>
        <w:ind w:right="1800" w:firstLine="0"/>
        <w:jc w:val="both"/>
        <w:rPr>
          <w:rFonts w:ascii="Times New Roman" w:hAnsi="Times New Roman"/>
        </w:rPr>
      </w:pPr>
      <w:r w:rsidRPr="004E231B">
        <w:rPr>
          <w:rFonts w:ascii="Times New Roman" w:hAnsi="Times New Roman"/>
        </w:rPr>
        <w:t>Édition électronique réali</w:t>
      </w:r>
      <w:r w:rsidRPr="004E231B">
        <w:rPr>
          <w:rFonts w:ascii="Times New Roman" w:hAnsi="Times New Roman"/>
        </w:rPr>
        <w:t>sée avec le traitement de textes Microsoft Word 2001 pour Macintosh.</w:t>
      </w:r>
    </w:p>
    <w:p w:rsidR="009A6BD2" w:rsidRPr="004E231B" w:rsidRDefault="003E2D0F">
      <w:pPr>
        <w:ind w:right="1800" w:firstLine="0"/>
        <w:jc w:val="both"/>
        <w:rPr>
          <w:rFonts w:ascii="Times New Roman" w:hAnsi="Times New Roman"/>
        </w:rPr>
      </w:pPr>
    </w:p>
    <w:p w:rsidR="009A6BD2" w:rsidRPr="004E231B" w:rsidRDefault="003E2D0F">
      <w:pPr>
        <w:ind w:right="1800" w:firstLine="0"/>
        <w:jc w:val="both"/>
        <w:rPr>
          <w:rFonts w:ascii="Times New Roman" w:hAnsi="Times New Roman"/>
        </w:rPr>
      </w:pPr>
      <w:r w:rsidRPr="004E231B">
        <w:rPr>
          <w:rFonts w:ascii="Times New Roman" w:hAnsi="Times New Roman"/>
        </w:rPr>
        <w:t>Mise en page sur papier format</w:t>
      </w:r>
    </w:p>
    <w:p w:rsidR="009A6BD2" w:rsidRPr="004E231B" w:rsidRDefault="003E2D0F">
      <w:pPr>
        <w:ind w:right="1800" w:firstLine="0"/>
        <w:jc w:val="both"/>
        <w:rPr>
          <w:rFonts w:ascii="Times New Roman" w:hAnsi="Times New Roman"/>
        </w:rPr>
      </w:pPr>
      <w:r w:rsidRPr="004E231B">
        <w:rPr>
          <w:rFonts w:ascii="Times New Roman" w:hAnsi="Times New Roman"/>
        </w:rPr>
        <w:t>LETTRE (US letter), 8.5’’ x 11’’)</w:t>
      </w:r>
    </w:p>
    <w:p w:rsidR="009A6BD2" w:rsidRPr="004E231B" w:rsidRDefault="003E2D0F">
      <w:pPr>
        <w:ind w:right="1800" w:firstLine="0"/>
        <w:jc w:val="both"/>
        <w:rPr>
          <w:rFonts w:ascii="Times New Roman" w:hAnsi="Times New Roman"/>
        </w:rPr>
      </w:pPr>
    </w:p>
    <w:p w:rsidR="009A6BD2" w:rsidRPr="004E231B" w:rsidRDefault="003E2D0F" w:rsidP="009A6BD2">
      <w:pPr>
        <w:ind w:right="450" w:firstLine="0"/>
        <w:jc w:val="both"/>
        <w:rPr>
          <w:rFonts w:ascii="Times New Roman" w:hAnsi="Times New Roman"/>
        </w:rPr>
      </w:pPr>
      <w:r w:rsidRPr="004E231B">
        <w:rPr>
          <w:rFonts w:ascii="Times New Roman" w:hAnsi="Times New Roman"/>
        </w:rPr>
        <w:t>Édition complétée le 15 février 2002 par Jean-Marie Tremblay à Chicoutimi, Québec</w:t>
      </w:r>
      <w:r w:rsidRPr="004E231B">
        <w:rPr>
          <w:rFonts w:ascii="Times New Roman" w:hAnsi="Times New Roman" w:cs="Times New Roman"/>
          <w:szCs w:val="22"/>
        </w:rPr>
        <w:t>, revue, corrigée avec ajout des mots g</w:t>
      </w:r>
      <w:r w:rsidRPr="004E231B">
        <w:rPr>
          <w:rFonts w:ascii="Times New Roman" w:hAnsi="Times New Roman" w:cs="Times New Roman"/>
          <w:szCs w:val="22"/>
        </w:rPr>
        <w:t>recs manquants par Bertrand Gibier le 28 juin 2008</w:t>
      </w:r>
      <w:r w:rsidRPr="004E231B">
        <w:rPr>
          <w:rFonts w:ascii="Times New Roman" w:hAnsi="Times New Roman"/>
        </w:rPr>
        <w:t>.</w:t>
      </w:r>
    </w:p>
    <w:p w:rsidR="009A6BD2" w:rsidRPr="004E231B" w:rsidRDefault="003E2D0F">
      <w:pPr>
        <w:ind w:right="1800" w:firstLine="0"/>
        <w:jc w:val="both"/>
        <w:rPr>
          <w:rFonts w:ascii="Times New Roman" w:hAnsi="Times New Roman"/>
        </w:rPr>
      </w:pPr>
    </w:p>
    <w:p w:rsidR="009A6BD2" w:rsidRPr="004E231B" w:rsidRDefault="008C3DF1">
      <w:pPr>
        <w:ind w:right="1800" w:firstLine="0"/>
        <w:jc w:val="both"/>
        <w:rPr>
          <w:rFonts w:ascii="Times New Roman" w:hAnsi="Times New Roman"/>
        </w:rPr>
      </w:pPr>
      <w:r w:rsidRPr="004E231B">
        <w:rPr>
          <w:noProof/>
        </w:rPr>
        <w:drawing>
          <wp:inline distT="0" distB="0" distL="0" distR="0">
            <wp:extent cx="1114425" cy="393700"/>
            <wp:effectExtent l="0" t="0" r="0" b="0"/>
            <wp:docPr id="1" name="Immagine 1" descr="fait_sur_ma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9A6BD2" w:rsidRPr="004E231B" w:rsidRDefault="003E2D0F">
      <w:pPr>
        <w:ind w:right="1800" w:firstLine="0"/>
        <w:jc w:val="both"/>
        <w:rPr>
          <w:rFonts w:ascii="Times New Roman" w:hAnsi="Times New Roman"/>
        </w:rPr>
      </w:pPr>
    </w:p>
    <w:p w:rsidR="009A6BD2" w:rsidRPr="009A6BD2" w:rsidRDefault="003E2D0F">
      <w:pPr>
        <w:ind w:left="20"/>
        <w:jc w:val="both"/>
        <w:rPr>
          <w:rFonts w:ascii="Times New Roman" w:hAnsi="Times New Roman" w:cs="Times"/>
        </w:rPr>
      </w:pPr>
      <w:r w:rsidRPr="004E231B">
        <w:rPr>
          <w:rFonts w:ascii="Times New Roman" w:hAnsi="Times New Roman"/>
        </w:rPr>
        <w:br w:type="page"/>
      </w:r>
    </w:p>
    <w:p w:rsidR="009A6BD2" w:rsidRPr="009A6BD2" w:rsidRDefault="003E2D0F">
      <w:pPr>
        <w:ind w:left="20" w:hanging="20"/>
        <w:jc w:val="center"/>
        <w:rPr>
          <w:rFonts w:ascii="Times New Roman" w:hAnsi="Times New Roman" w:cs="Times"/>
        </w:rPr>
      </w:pPr>
      <w:bookmarkStart w:id="1" w:name="tdm"/>
      <w:r w:rsidRPr="009A6BD2">
        <w:rPr>
          <w:rFonts w:ascii="Times New Roman" w:hAnsi="Times New Roman" w:cs="Times"/>
          <w:b/>
          <w:bCs/>
          <w:color w:val="FF0000"/>
          <w:sz w:val="48"/>
          <w:szCs w:val="48"/>
        </w:rPr>
        <w:t>Table des matières</w:t>
      </w:r>
      <w:bookmarkEnd w:id="1"/>
    </w:p>
    <w:p w:rsidR="009A6BD2" w:rsidRPr="009A6BD2" w:rsidRDefault="003E2D0F">
      <w:pPr>
        <w:ind w:right="90"/>
        <w:jc w:val="both"/>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w:t>
      </w:r>
      <w:bookmarkStart w:id="2" w:name="_Hlt447285051"/>
      <w:r w:rsidRPr="009A6BD2">
        <w:rPr>
          <w:rStyle w:val="Collegamentoipertestuale"/>
          <w:rFonts w:ascii="Times New Roman" w:hAnsi="Times New Roman" w:cs="Times"/>
          <w:sz w:val="20"/>
          <w:szCs w:val="20"/>
          <w:effect w:val="none"/>
        </w:rPr>
        <w:t xml:space="preserve"> </w:t>
      </w:r>
      <w:bookmarkEnd w:id="2"/>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rPr>
      </w:pPr>
      <w:r w:rsidRPr="009A6BD2">
        <w:rPr>
          <w:rFonts w:ascii="Times" w:hAnsi="Times" w:cs="Times"/>
          <w:sz w:val="20"/>
          <w:szCs w:val="20"/>
          <w:effect w:val="none"/>
        </w:rPr>
        <w:fldChar w:fldCharType="end"/>
      </w:r>
    </w:p>
    <w:p w:rsidR="009A6BD2" w:rsidRPr="009A6BD2" w:rsidRDefault="003E2D0F">
      <w:pPr>
        <w:ind w:firstLine="0"/>
        <w:rPr>
          <w:rFonts w:ascii="Times New Roman" w:hAnsi="Times New Roman" w:cs="Times"/>
        </w:rPr>
      </w:pPr>
    </w:p>
    <w:p w:rsidR="009A6BD2" w:rsidRPr="009A6BD2" w:rsidRDefault="003E2D0F">
      <w:pPr>
        <w:pStyle w:val="En-tteimpaire"/>
        <w:tabs>
          <w:tab w:val="clear" w:pos="4320"/>
          <w:tab w:val="clear" w:pos="8280"/>
          <w:tab w:val="clear" w:pos="8640"/>
          <w:tab w:val="clear" w:pos="9000"/>
        </w:tabs>
        <w:rPr>
          <w:rFonts w:ascii="Times New Roman" w:hAnsi="Times New Roman" w:cs="Comic Sans MS"/>
        </w:rPr>
      </w:pPr>
      <w:r w:rsidRPr="009A6BD2">
        <w:rPr>
          <w:rFonts w:ascii="Times New Roman" w:hAnsi="Times New Roman" w:cs="Comic Sans MS"/>
        </w:rPr>
        <w:t>Carte ethnographique de l’Australie</w:t>
      </w:r>
    </w:p>
    <w:p w:rsidR="009A6BD2" w:rsidRPr="009A6BD2" w:rsidRDefault="003E2D0F">
      <w:pPr>
        <w:ind w:firstLine="0"/>
        <w:rPr>
          <w:rFonts w:ascii="Times New Roman" w:hAnsi="Times New Roman" w:cs="Comic Sans MS"/>
        </w:rPr>
      </w:pPr>
    </w:p>
    <w:p w:rsidR="009A6BD2" w:rsidRPr="009A6BD2" w:rsidRDefault="003E2D0F">
      <w:pPr>
        <w:tabs>
          <w:tab w:val="left" w:pos="2520"/>
        </w:tabs>
        <w:ind w:left="2520" w:hanging="2520"/>
        <w:rPr>
          <w:rFonts w:ascii="Times New Roman" w:hAnsi="Times New Roman" w:cs="Comic Sans MS"/>
        </w:rPr>
      </w:pPr>
      <w:r w:rsidRPr="009A6BD2">
        <w:rPr>
          <w:rFonts w:ascii="Times New Roman" w:hAnsi="Times New Roman" w:cs="Comic Sans MS"/>
          <w:b/>
          <w:bCs/>
        </w:rPr>
        <w:t>INTRODUCTION </w:t>
      </w:r>
      <w:r w:rsidRPr="009A6BD2">
        <w:rPr>
          <w:rFonts w:ascii="Times New Roman" w:hAnsi="Times New Roman" w:cs="Comic Sans MS"/>
        </w:rPr>
        <w:t>:</w:t>
      </w:r>
      <w:r w:rsidRPr="009A6BD2">
        <w:rPr>
          <w:rFonts w:ascii="Times New Roman" w:hAnsi="Times New Roman" w:cs="Comic Sans MS"/>
        </w:rPr>
        <w:tab/>
      </w:r>
      <w:r w:rsidRPr="009A6BD2">
        <w:rPr>
          <w:rFonts w:ascii="Times New Roman" w:hAnsi="Times New Roman" w:cs="Comic Sans MS"/>
          <w:sz w:val="20"/>
          <w:szCs w:val="20"/>
        </w:rPr>
        <w:t>OBJET DE LA RECHERCHE. Sociologie religieuse et théorie de la connaissance</w:t>
      </w:r>
    </w:p>
    <w:p w:rsidR="009A6BD2" w:rsidRPr="009A6BD2" w:rsidRDefault="003E2D0F">
      <w:pPr>
        <w:pStyle w:val="En-tteimpaire"/>
        <w:tabs>
          <w:tab w:val="clear" w:pos="4320"/>
          <w:tab w:val="clear" w:pos="8280"/>
          <w:tab w:val="clear" w:pos="8640"/>
          <w:tab w:val="clear" w:pos="9000"/>
        </w:tabs>
        <w:rPr>
          <w:rFonts w:ascii="Times New Roman" w:hAnsi="Times New Roman" w:cs="Comic Sans MS"/>
        </w:rPr>
      </w:pPr>
    </w:p>
    <w:p w:rsidR="009A6BD2" w:rsidRPr="009A6BD2" w:rsidRDefault="003E2D0F">
      <w:pPr>
        <w:tabs>
          <w:tab w:val="left" w:pos="900"/>
        </w:tabs>
        <w:spacing w:before="60" w:after="60"/>
        <w:ind w:left="900" w:hanging="540"/>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Obje</w:t>
      </w:r>
      <w:r w:rsidRPr="009A6BD2">
        <w:rPr>
          <w:rFonts w:ascii="Times New Roman" w:hAnsi="Times New Roman" w:cs="Comic Sans MS"/>
          <w:sz w:val="20"/>
          <w:szCs w:val="20"/>
        </w:rPr>
        <w:t>t principal du livre: analyse de la religion la plus simple qui soit connue, en vue de déterminer les formes élémentaires de la vie religieuse. - Pourquoi elles sont plus faciles à atteindre et à expliquer à travers les religions primitives.</w:t>
      </w:r>
    </w:p>
    <w:p w:rsidR="009A6BD2" w:rsidRPr="009A6BD2" w:rsidRDefault="003E2D0F">
      <w:pPr>
        <w:tabs>
          <w:tab w:val="left" w:pos="900"/>
        </w:tabs>
        <w:spacing w:before="60" w:after="60"/>
        <w:ind w:left="900" w:hanging="540"/>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Objet se</w:t>
      </w:r>
      <w:r w:rsidRPr="009A6BD2">
        <w:rPr>
          <w:rFonts w:ascii="Times New Roman" w:hAnsi="Times New Roman" w:cs="Comic Sans MS"/>
          <w:sz w:val="20"/>
          <w:szCs w:val="20"/>
        </w:rPr>
        <w:t>condaire de la recherche : genèse des notions fondamentales de la pensée ou catégories. - Raisons de croire qu'elles ont une origine religieuse et, par suite, sociale. - Comment, de ce point de vue, on entrevoit un moyen de renouveler la théorie de la conn</w:t>
      </w:r>
      <w:r w:rsidRPr="009A6BD2">
        <w:rPr>
          <w:rFonts w:ascii="Times New Roman" w:hAnsi="Times New Roman" w:cs="Comic Sans MS"/>
          <w:sz w:val="20"/>
          <w:szCs w:val="20"/>
        </w:rPr>
        <w:t>aissance.</w:t>
      </w:r>
    </w:p>
    <w:p w:rsidR="009A6BD2" w:rsidRPr="009A6BD2" w:rsidRDefault="003E2D0F">
      <w:pPr>
        <w:ind w:firstLine="0"/>
        <w:rPr>
          <w:rFonts w:ascii="Times New Roman" w:hAnsi="Times New Roman" w:cs="Times"/>
          <w:sz w:val="20"/>
          <w:szCs w:val="20"/>
        </w:rPr>
      </w:pPr>
    </w:p>
    <w:p w:rsidR="009A6BD2" w:rsidRPr="009A6BD2" w:rsidRDefault="003E2D0F">
      <w:pPr>
        <w:ind w:firstLine="0"/>
        <w:rPr>
          <w:rFonts w:ascii="Times New Roman" w:hAnsi="Times New Roman" w:cs="Times"/>
        </w:rPr>
      </w:pPr>
    </w:p>
    <w:p w:rsidR="009A6BD2" w:rsidRPr="009A6BD2" w:rsidRDefault="003E2D0F">
      <w:pPr>
        <w:tabs>
          <w:tab w:val="left" w:pos="1440"/>
        </w:tabs>
        <w:ind w:firstLine="0"/>
        <w:rPr>
          <w:rFonts w:ascii="Times New Roman" w:hAnsi="Times New Roman" w:cs="Times"/>
          <w:color w:val="FF0000"/>
          <w:sz w:val="28"/>
          <w:szCs w:val="28"/>
        </w:rPr>
      </w:pPr>
      <w:r w:rsidRPr="009A6BD2">
        <w:rPr>
          <w:rFonts w:ascii="Times New Roman" w:hAnsi="Times New Roman" w:cs="Times"/>
          <w:b/>
          <w:bCs/>
          <w:color w:val="FF0000"/>
          <w:sz w:val="28"/>
          <w:szCs w:val="28"/>
        </w:rPr>
        <w:t>LIVRE I:</w:t>
      </w:r>
      <w:r w:rsidRPr="009A6BD2">
        <w:rPr>
          <w:rFonts w:ascii="Times New Roman" w:hAnsi="Times New Roman" w:cs="Times"/>
          <w:color w:val="FF0000"/>
          <w:sz w:val="28"/>
          <w:szCs w:val="28"/>
        </w:rPr>
        <w:tab/>
      </w:r>
      <w:r w:rsidRPr="009A6BD2">
        <w:rPr>
          <w:rFonts w:ascii="Times New Roman" w:hAnsi="Times New Roman" w:cs="Times"/>
          <w:b/>
          <w:bCs/>
          <w:color w:val="FF0000"/>
          <w:sz w:val="28"/>
          <w:szCs w:val="28"/>
        </w:rPr>
        <w:t>QUESTIONS PRÉLIMINAIRES</w:t>
      </w:r>
    </w:p>
    <w:p w:rsidR="009A6BD2" w:rsidRPr="009A6BD2" w:rsidRDefault="003E2D0F">
      <w:pPr>
        <w:ind w:firstLine="0"/>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I :</w:t>
      </w:r>
      <w:r w:rsidRPr="009A6BD2">
        <w:rPr>
          <w:rFonts w:ascii="Times New Roman" w:hAnsi="Times New Roman"/>
        </w:rPr>
        <w:tab/>
        <w:t>Définition du phénomène religieux et de la religion</w:t>
      </w:r>
    </w:p>
    <w:p w:rsidR="009A6BD2" w:rsidRPr="009A6BD2" w:rsidRDefault="003E2D0F">
      <w:pPr>
        <w:ind w:firstLine="0"/>
        <w:rPr>
          <w:rFonts w:ascii="Times New Roman" w:hAnsi="Times New Roman" w:cs="Times"/>
        </w:rPr>
      </w:pPr>
    </w:p>
    <w:p w:rsidR="009A6BD2" w:rsidRPr="009A6BD2" w:rsidRDefault="003E2D0F">
      <w:pPr>
        <w:tabs>
          <w:tab w:val="left" w:pos="900"/>
        </w:tabs>
        <w:spacing w:before="60" w:after="60"/>
        <w:ind w:left="360" w:firstLine="0"/>
        <w:rPr>
          <w:rFonts w:ascii="Times New Roman" w:hAnsi="Times New Roman" w:cs="Comic Sans MS"/>
        </w:rPr>
      </w:pPr>
      <w:r w:rsidRPr="009A6BD2">
        <w:rPr>
          <w:rFonts w:ascii="Times New Roman" w:hAnsi="Times New Roman" w:cs="Comic Sans MS"/>
          <w:sz w:val="20"/>
          <w:szCs w:val="20"/>
        </w:rPr>
        <w:tab/>
        <w:t>Utilité d'une définition préalable de la religion; méthode à suivre pour procéder à cette définition. - Pourquoi il convient d'examiner d'abord</w:t>
      </w:r>
      <w:r w:rsidRPr="009A6BD2">
        <w:rPr>
          <w:rFonts w:ascii="Times New Roman" w:hAnsi="Times New Roman" w:cs="Comic Sans MS"/>
          <w:sz w:val="20"/>
          <w:szCs w:val="20"/>
        </w:rPr>
        <w:t xml:space="preserve"> les définitions usuelles</w:t>
      </w:r>
      <w:r w:rsidRPr="009A6BD2">
        <w:rPr>
          <w:rFonts w:ascii="Times New Roman" w:hAnsi="Times New Roman" w:cs="Comic Sans MS"/>
        </w:rPr>
        <w:t xml:space="preserve">. </w:t>
      </w:r>
    </w:p>
    <w:p w:rsidR="009A6BD2" w:rsidRPr="009A6BD2" w:rsidRDefault="003E2D0F">
      <w:pPr>
        <w:spacing w:before="60" w:after="60"/>
        <w:ind w:left="360" w:firstLine="0"/>
        <w:rPr>
          <w:rFonts w:ascii="Times New Roman" w:hAnsi="Times New Roman" w:cs="Comic Sans MS"/>
          <w:sz w:val="20"/>
          <w:szCs w:val="20"/>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La religion définie par le surnaturel et le mystérieux. - Critique : la notion du mystère n'est pas primitive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La religion définie en fonction de l'idée de Dieu ou d'être spirituel. - Religions sans dieux. - Dans les </w:t>
      </w:r>
      <w:r w:rsidRPr="009A6BD2">
        <w:rPr>
          <w:rFonts w:ascii="Times New Roman" w:hAnsi="Times New Roman" w:cs="Comic Sans MS"/>
          <w:sz w:val="20"/>
          <w:szCs w:val="20"/>
        </w:rPr>
        <w:t>religions déistes, rites qui n'impliquent aucune idée de divinité</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Recherche d'une définition positive. - Distinction des croyances et des rites. – Défi</w:t>
      </w:r>
      <w:r w:rsidRPr="009A6BD2">
        <w:rPr>
          <w:rFonts w:ascii="Comic Sans MS" w:hAnsi="Comic Sans MS" w:cs="Comic Sans MS"/>
          <w:sz w:val="20"/>
          <w:szCs w:val="20"/>
        </w:rPr>
        <w:softHyphen/>
      </w:r>
      <w:r w:rsidRPr="009A6BD2">
        <w:rPr>
          <w:rFonts w:ascii="Times New Roman" w:hAnsi="Times New Roman" w:cs="Comic Sans MS"/>
          <w:sz w:val="20"/>
          <w:szCs w:val="20"/>
        </w:rPr>
        <w:t>ni</w:t>
      </w:r>
      <w:r w:rsidRPr="009A6BD2">
        <w:rPr>
          <w:rFonts w:ascii="Comic Sans MS" w:hAnsi="Comic Sans MS" w:cs="Comic Sans MS"/>
          <w:sz w:val="20"/>
          <w:szCs w:val="20"/>
        </w:rPr>
        <w:softHyphen/>
      </w:r>
      <w:r w:rsidRPr="009A6BD2">
        <w:rPr>
          <w:rFonts w:ascii="Times New Roman" w:hAnsi="Times New Roman" w:cs="Comic Sans MS"/>
          <w:sz w:val="20"/>
          <w:szCs w:val="20"/>
        </w:rPr>
        <w:t>tion des croyances. - Première caractéristique : division bipartite des choses en sacrées et e</w:t>
      </w:r>
      <w:r w:rsidRPr="009A6BD2">
        <w:rPr>
          <w:rFonts w:ascii="Times New Roman" w:hAnsi="Times New Roman" w:cs="Comic Sans MS"/>
          <w:sz w:val="20"/>
          <w:szCs w:val="20"/>
        </w:rPr>
        <w:t>n profanes. - Caractères distinctifs de cette division. - Définition des rites en fonction des croyances, - Définition de la religion</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Nécessité d'une autre caractéristique pour distinguer la magie de la religion. - L'idée d'Église. -Les religions ind</w:t>
      </w:r>
      <w:r w:rsidRPr="009A6BD2">
        <w:rPr>
          <w:rFonts w:ascii="Times New Roman" w:hAnsi="Times New Roman" w:cs="Comic Sans MS"/>
          <w:sz w:val="20"/>
          <w:szCs w:val="20"/>
        </w:rPr>
        <w:t xml:space="preserve">ividuelles excluent-elles l'idée d'Église ? </w:t>
      </w:r>
    </w:p>
    <w:p w:rsidR="009A6BD2" w:rsidRPr="009A6BD2" w:rsidRDefault="003E2D0F">
      <w:pPr>
        <w:pStyle w:val="tdmchap"/>
        <w:rPr>
          <w:rFonts w:ascii="Times New Roman" w:hAnsi="Times New Roman"/>
        </w:rPr>
      </w:pPr>
      <w:r w:rsidRPr="009A6BD2">
        <w:rPr>
          <w:rFonts w:ascii="Times New Roman" w:hAnsi="Times New Roman"/>
        </w:rPr>
        <w:br w:type="page"/>
      </w:r>
      <w:r w:rsidRPr="009A6BD2">
        <w:rPr>
          <w:rFonts w:ascii="Times New Roman" w:hAnsi="Times New Roman"/>
        </w:rPr>
        <w:lastRenderedPageBreak/>
        <w:t>CHAPITRE II :</w:t>
      </w:r>
      <w:r w:rsidRPr="009A6BD2">
        <w:rPr>
          <w:rFonts w:ascii="Times New Roman" w:hAnsi="Times New Roman"/>
        </w:rPr>
        <w:tab/>
        <w:t>Les principales conceptions de la religion élémentaire</w:t>
      </w:r>
    </w:p>
    <w:p w:rsidR="009A6BD2" w:rsidRPr="009A6BD2" w:rsidRDefault="003E2D0F">
      <w:pPr>
        <w:tabs>
          <w:tab w:val="left" w:pos="1800"/>
        </w:tabs>
        <w:ind w:firstLine="0"/>
        <w:rPr>
          <w:rFonts w:ascii="Times New Roman" w:hAnsi="Times New Roman" w:cs="Time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 - L'animisme</w:t>
      </w:r>
    </w:p>
    <w:p w:rsidR="009A6BD2" w:rsidRPr="009A6BD2" w:rsidRDefault="003E2D0F">
      <w:pPr>
        <w:ind w:firstLine="0"/>
        <w:rPr>
          <w:rFonts w:ascii="Times New Roman" w:hAnsi="Times New Roman" w:cs="Times"/>
          <w:i/>
          <w:iCs/>
        </w:rPr>
      </w:pPr>
    </w:p>
    <w:p w:rsidR="009A6BD2" w:rsidRPr="009A6BD2" w:rsidRDefault="003E2D0F">
      <w:pPr>
        <w:spacing w:before="60" w:after="60"/>
        <w:ind w:left="360" w:firstLine="0"/>
        <w:rPr>
          <w:rFonts w:ascii="Times New Roman" w:hAnsi="Times New Roman" w:cs="Comic Sans MS"/>
          <w:sz w:val="20"/>
          <w:szCs w:val="20"/>
        </w:rPr>
      </w:pPr>
      <w:r w:rsidRPr="009A6BD2">
        <w:rPr>
          <w:rFonts w:ascii="Times New Roman" w:hAnsi="Times New Roman" w:cs="Comic Sans MS"/>
          <w:sz w:val="20"/>
          <w:szCs w:val="20"/>
        </w:rPr>
        <w:t xml:space="preserve">Distinction de l'animisme et du naturisme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Les trois thèses de l'animisme : 1º Genèse de l'idée d'âme; 2º Formation de</w:t>
      </w:r>
      <w:r w:rsidRPr="009A6BD2">
        <w:rPr>
          <w:rFonts w:ascii="Times New Roman" w:hAnsi="Times New Roman" w:cs="Comic Sans MS"/>
          <w:sz w:val="20"/>
          <w:szCs w:val="20"/>
        </w:rPr>
        <w:t xml:space="preserve"> l'idée d'esprit ; 3º Transformation du culte des esprits en culte de la nature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Critique de la première thèse. - Distinction de l'idée d'âme et de l'idée double. - Le rêve ne rend pas compte de l'idée d'âme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Critique de la seconde thèse. - La m</w:t>
      </w:r>
      <w:r w:rsidRPr="009A6BD2">
        <w:rPr>
          <w:rFonts w:ascii="Times New Roman" w:hAnsi="Times New Roman" w:cs="Comic Sans MS"/>
          <w:sz w:val="20"/>
          <w:szCs w:val="20"/>
        </w:rPr>
        <w:t xml:space="preserve">ort n'explique pas la transformation de l'âme en esprit. -Le culte des âmes des morts n'est pas primitif .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Critique de la troisième thèse. - L'instinct anthropomorphique. Critique qu'en a faite Spencer; réserves à ce sujet. Examen des faits par lesq</w:t>
      </w:r>
      <w:r w:rsidRPr="009A6BD2">
        <w:rPr>
          <w:rFonts w:ascii="Times New Roman" w:hAnsi="Times New Roman" w:cs="Comic Sans MS"/>
          <w:sz w:val="20"/>
          <w:szCs w:val="20"/>
        </w:rPr>
        <w:t>uels on croit prouver l'exis</w:t>
      </w:r>
      <w:r w:rsidRPr="009A6BD2">
        <w:rPr>
          <w:rFonts w:ascii="Comic Sans MS" w:hAnsi="Comic Sans MS" w:cs="Comic Sans MS"/>
          <w:sz w:val="20"/>
          <w:szCs w:val="20"/>
        </w:rPr>
        <w:softHyphen/>
      </w:r>
      <w:r w:rsidRPr="009A6BD2">
        <w:rPr>
          <w:rFonts w:ascii="Times New Roman" w:hAnsi="Times New Roman" w:cs="Comic Sans MS"/>
          <w:sz w:val="20"/>
          <w:szCs w:val="20"/>
        </w:rPr>
        <w:t>ten</w:t>
      </w:r>
      <w:r w:rsidRPr="009A6BD2">
        <w:rPr>
          <w:rFonts w:ascii="Comic Sans MS" w:hAnsi="Comic Sans MS" w:cs="Comic Sans MS"/>
          <w:sz w:val="20"/>
          <w:szCs w:val="20"/>
        </w:rPr>
        <w:softHyphen/>
      </w:r>
      <w:r w:rsidRPr="009A6BD2">
        <w:rPr>
          <w:rFonts w:ascii="Times New Roman" w:hAnsi="Times New Roman" w:cs="Comic Sans MS"/>
          <w:sz w:val="20"/>
          <w:szCs w:val="20"/>
        </w:rPr>
        <w:t>ce de cet instinct. - Différence entre l'âme et les esprits de la nature. L'anthropo</w:t>
      </w:r>
      <w:r w:rsidRPr="009A6BD2">
        <w:rPr>
          <w:rFonts w:ascii="Comic Sans MS" w:hAnsi="Comic Sans MS" w:cs="Comic Sans MS"/>
          <w:sz w:val="20"/>
          <w:szCs w:val="20"/>
        </w:rPr>
        <w:softHyphen/>
      </w:r>
      <w:r w:rsidRPr="009A6BD2">
        <w:rPr>
          <w:rFonts w:ascii="Times New Roman" w:hAnsi="Times New Roman" w:cs="Comic Sans MS"/>
          <w:sz w:val="20"/>
          <w:szCs w:val="20"/>
        </w:rPr>
        <w:t>mor</w:t>
      </w:r>
      <w:r w:rsidRPr="009A6BD2">
        <w:rPr>
          <w:rFonts w:ascii="Comic Sans MS" w:hAnsi="Comic Sans MS" w:cs="Comic Sans MS"/>
          <w:sz w:val="20"/>
          <w:szCs w:val="20"/>
        </w:rPr>
        <w:softHyphen/>
      </w:r>
      <w:r w:rsidRPr="009A6BD2">
        <w:rPr>
          <w:rFonts w:ascii="Times New Roman" w:hAnsi="Times New Roman" w:cs="Comic Sans MS"/>
          <w:sz w:val="20"/>
          <w:szCs w:val="20"/>
        </w:rPr>
        <w:t xml:space="preserve">phisme religieux n'est pas primitif.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w:t>
      </w:r>
      <w:r w:rsidRPr="009A6BD2">
        <w:rPr>
          <w:rFonts w:ascii="Times New Roman" w:hAnsi="Times New Roman" w:cs="Comic Sans MS"/>
          <w:sz w:val="20"/>
          <w:szCs w:val="20"/>
        </w:rPr>
        <w:tab/>
        <w:t xml:space="preserve">Conclusion: l'animisme réduit la religion à n'être qu'un système d'hallucinations . </w:t>
      </w:r>
    </w:p>
    <w:p w:rsidR="009A6BD2" w:rsidRPr="009A6BD2" w:rsidRDefault="003E2D0F">
      <w:pPr>
        <w:ind w:firstLine="0"/>
        <w:rPr>
          <w:rFonts w:ascii="Times New Roman" w:hAnsi="Times New Roman" w:cs="Times"/>
          <w:sz w:val="20"/>
          <w:szCs w:val="20"/>
        </w:rPr>
      </w:pP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w:t>
      </w:r>
      <w:r w:rsidRPr="009A6BD2">
        <w:rPr>
          <w:rFonts w:ascii="Times New Roman" w:hAnsi="Times New Roman"/>
        </w:rPr>
        <w:t>RE III :</w:t>
      </w:r>
      <w:r w:rsidRPr="009A6BD2">
        <w:rPr>
          <w:rFonts w:ascii="Times New Roman" w:hAnsi="Times New Roman"/>
        </w:rPr>
        <w:tab/>
        <w:t xml:space="preserve">Les principales conceptions de la religion élémentaire </w:t>
      </w:r>
      <w:r w:rsidRPr="009A6BD2">
        <w:rPr>
          <w:rFonts w:ascii="Times New Roman" w:hAnsi="Times New Roman"/>
          <w:i/>
          <w:iCs/>
        </w:rPr>
        <w:t>(suite)</w:t>
      </w:r>
      <w:r w:rsidRPr="009A6BD2">
        <w:rPr>
          <w:rFonts w:ascii="Times New Roman" w:hAnsi="Times New Roman"/>
        </w:rPr>
        <w:t xml:space="preserve"> </w:t>
      </w:r>
    </w:p>
    <w:p w:rsidR="009A6BD2" w:rsidRPr="009A6BD2" w:rsidRDefault="003E2D0F">
      <w:pPr>
        <w:tabs>
          <w:tab w:val="left" w:pos="1800"/>
        </w:tabs>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 - Le naturisme</w:t>
      </w:r>
    </w:p>
    <w:p w:rsidR="009A6BD2" w:rsidRPr="009A6BD2" w:rsidRDefault="003E2D0F">
      <w:pPr>
        <w:ind w:firstLine="0"/>
        <w:rPr>
          <w:rFonts w:ascii="Times New Roman" w:hAnsi="Times New Roman" w:cs="Times"/>
          <w:i/>
          <w:iCs/>
        </w:rPr>
      </w:pPr>
    </w:p>
    <w:p w:rsidR="009A6BD2" w:rsidRPr="009A6BD2" w:rsidRDefault="003E2D0F">
      <w:pPr>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 xml:space="preserve">Historique de la théorie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Exposé du naturisme d'après Max Müller</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Si la religion a pour objet d'exprimer les forces naturelles, comme elle les exprime d</w:t>
      </w:r>
      <w:r w:rsidRPr="009A6BD2">
        <w:rPr>
          <w:rFonts w:ascii="Times New Roman" w:hAnsi="Times New Roman" w:cs="Comic Sans MS"/>
          <w:sz w:val="20"/>
          <w:szCs w:val="20"/>
        </w:rPr>
        <w:t>'une manière erronée, on ne comprend pas qu'elle ait pu se maintenir. - Prétendue distinction entre la religion et la mythologie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Le naturisme n'explique pas la distinction des choses en sacrées et en profanes </w:t>
      </w:r>
    </w:p>
    <w:p w:rsidR="009A6BD2" w:rsidRPr="009A6BD2" w:rsidRDefault="003E2D0F">
      <w:pPr>
        <w:ind w:firstLine="0"/>
        <w:jc w:val="both"/>
        <w:rPr>
          <w:rFonts w:ascii="Times New Roman" w:hAnsi="Times New Roman" w:cs="Comic Sans MS"/>
          <w:sz w:val="20"/>
          <w:szCs w:val="20"/>
        </w:rPr>
      </w:pPr>
    </w:p>
    <w:p w:rsidR="009A6BD2" w:rsidRPr="009A6BD2" w:rsidRDefault="003E2D0F">
      <w:pPr>
        <w:pStyle w:val="tdmchap"/>
        <w:rPr>
          <w:rFonts w:ascii="Times New Roman" w:hAnsi="Times New Roman"/>
        </w:rPr>
      </w:pPr>
      <w:r w:rsidRPr="009A6BD2">
        <w:rPr>
          <w:rFonts w:ascii="Times New Roman" w:hAnsi="Times New Roman"/>
        </w:rPr>
        <w:t>CHAPITRE IV</w:t>
      </w:r>
      <w:r w:rsidRPr="009A6BD2">
        <w:rPr>
          <w:rFonts w:ascii="Times New Roman" w:hAnsi="Times New Roman"/>
        </w:rPr>
        <w:tab/>
        <w:t>Le totémisme comme religio</w:t>
      </w:r>
      <w:r w:rsidRPr="009A6BD2">
        <w:rPr>
          <w:rFonts w:ascii="Times New Roman" w:hAnsi="Times New Roman"/>
        </w:rPr>
        <w:t>n élémentaire</w:t>
      </w:r>
    </w:p>
    <w:p w:rsidR="009A6BD2" w:rsidRPr="009A6BD2" w:rsidRDefault="003E2D0F">
      <w:pPr>
        <w:pStyle w:val="tdmchap"/>
        <w:rPr>
          <w:rFonts w:ascii="Times New Roman" w:hAnsi="Times New Roman"/>
        </w:rPr>
      </w:pPr>
      <w:r w:rsidRPr="009A6BD2">
        <w:rPr>
          <w:rFonts w:ascii="Times New Roman" w:hAnsi="Times New Roman"/>
        </w:rPr>
        <w:tab/>
        <w:t>historique de la question, méthode pour la traiter</w:t>
      </w:r>
    </w:p>
    <w:p w:rsidR="009A6BD2" w:rsidRPr="009A6BD2" w:rsidRDefault="003E2D0F">
      <w:pPr>
        <w:tabs>
          <w:tab w:val="left" w:pos="1800"/>
        </w:tabs>
        <w:ind w:firstLine="0"/>
        <w:rPr>
          <w:rFonts w:ascii="Times New Roman" w:hAnsi="Times New Roman" w:cs="Time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Histoire sommaire de la question du totémisme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Baisons de méthode pour lesquelles l'étude portera spécialement sur le totémisme australien. -De la place qui sera faite aux faits a</w:t>
      </w:r>
      <w:r w:rsidRPr="009A6BD2">
        <w:rPr>
          <w:rFonts w:ascii="Times New Roman" w:hAnsi="Times New Roman" w:cs="Comic Sans MS"/>
          <w:sz w:val="20"/>
          <w:szCs w:val="20"/>
        </w:rPr>
        <w:t>méricains</w:t>
      </w:r>
    </w:p>
    <w:p w:rsidR="009A6BD2" w:rsidRPr="009A6BD2" w:rsidRDefault="003E2D0F">
      <w:pPr>
        <w:tabs>
          <w:tab w:val="left" w:pos="1440"/>
        </w:tabs>
        <w:ind w:firstLine="0"/>
        <w:rPr>
          <w:rFonts w:ascii="Times New Roman" w:hAnsi="Times New Roman" w:cs="Times"/>
          <w:color w:val="FF0000"/>
          <w:sz w:val="28"/>
          <w:szCs w:val="28"/>
        </w:rPr>
      </w:pPr>
      <w:r w:rsidRPr="009A6BD2">
        <w:rPr>
          <w:rFonts w:ascii="Times New Roman" w:hAnsi="Times New Roman" w:cs="Times"/>
          <w:b/>
          <w:bCs/>
          <w:color w:val="FF0000"/>
          <w:sz w:val="28"/>
          <w:szCs w:val="28"/>
        </w:rPr>
        <w:br w:type="page"/>
      </w:r>
      <w:bookmarkStart w:id="3" w:name="tdm_livre_II"/>
      <w:r w:rsidRPr="009A6BD2">
        <w:rPr>
          <w:rFonts w:ascii="Times New Roman" w:hAnsi="Times New Roman" w:cs="Times"/>
          <w:b/>
          <w:bCs/>
          <w:color w:val="FF0000"/>
          <w:sz w:val="28"/>
          <w:szCs w:val="28"/>
        </w:rPr>
        <w:lastRenderedPageBreak/>
        <w:t>LIVRE II:</w:t>
      </w:r>
      <w:r w:rsidRPr="009A6BD2">
        <w:rPr>
          <w:rFonts w:ascii="Times New Roman" w:hAnsi="Times New Roman" w:cs="Times"/>
          <w:color w:val="FF0000"/>
          <w:sz w:val="28"/>
          <w:szCs w:val="28"/>
        </w:rPr>
        <w:tab/>
      </w:r>
      <w:hyperlink w:anchor="livre_2" w:history="1">
        <w:r w:rsidRPr="009A6BD2">
          <w:rPr>
            <w:rStyle w:val="Collegamentoipertestuale"/>
            <w:rFonts w:ascii="Times New Roman" w:hAnsi="Times New Roman" w:cs="Times"/>
            <w:b/>
            <w:bCs/>
            <w:sz w:val="28"/>
            <w:szCs w:val="28"/>
          </w:rPr>
          <w:t>LES CROYANCES ÉLÉMENTAIRES</w:t>
        </w:r>
      </w:hyperlink>
    </w:p>
    <w:p w:rsidR="009A6BD2" w:rsidRPr="009A6BD2" w:rsidRDefault="003E2D0F">
      <w:pPr>
        <w:ind w:firstLine="0"/>
        <w:rPr>
          <w:rFonts w:ascii="Times New Roman" w:hAnsi="Times New Roman" w:cs="Times"/>
        </w:rPr>
      </w:pPr>
    </w:p>
    <w:bookmarkEnd w:id="3"/>
    <w:p w:rsidR="009A6BD2" w:rsidRPr="009A6BD2" w:rsidRDefault="003E2D0F">
      <w:pPr>
        <w:pStyle w:val="tdmchap"/>
        <w:rPr>
          <w:rFonts w:ascii="Times New Roman" w:hAnsi="Times New Roman"/>
        </w:rPr>
      </w:pPr>
      <w:r w:rsidRPr="009A6BD2">
        <w:rPr>
          <w:rFonts w:ascii="Times New Roman" w:hAnsi="Times New Roman"/>
        </w:rPr>
        <w:t>CHAPITRE I :</w:t>
      </w:r>
      <w:r w:rsidRPr="009A6BD2">
        <w:rPr>
          <w:rFonts w:ascii="Times New Roman" w:hAnsi="Times New Roman"/>
        </w:rPr>
        <w:tab/>
      </w:r>
      <w:hyperlink w:anchor="livre_2_chap_1" w:history="1">
        <w:r w:rsidRPr="009A6BD2">
          <w:rPr>
            <w:rStyle w:val="Collegamentoipertestuale"/>
            <w:rFonts w:ascii="Times New Roman" w:hAnsi="Times New Roman"/>
          </w:rPr>
          <w:t>Les croyances proprement totémiques</w:t>
        </w:r>
      </w:hyperlink>
    </w:p>
    <w:p w:rsidR="009A6BD2" w:rsidRPr="009A6BD2" w:rsidRDefault="003E2D0F">
      <w:pPr>
        <w:tabs>
          <w:tab w:val="left" w:pos="1800"/>
        </w:tabs>
        <w:ind w:firstLine="0"/>
        <w:rPr>
          <w:rFonts w:ascii="Times New Roman" w:hAnsi="Times New Roman" w:cs="Times"/>
        </w:rPr>
      </w:pPr>
    </w:p>
    <w:p w:rsidR="009A6BD2" w:rsidRPr="009A6BD2" w:rsidRDefault="003E2D0F">
      <w:pPr>
        <w:spacing w:before="60" w:after="60"/>
        <w:ind w:left="907" w:hanging="547"/>
        <w:rPr>
          <w:rFonts w:ascii="Times New Roman" w:hAnsi="Times New Roman" w:cs="Comic Sans MS"/>
          <w:color w:val="000080"/>
          <w:sz w:val="20"/>
          <w:szCs w:val="20"/>
        </w:rPr>
      </w:pPr>
      <w:r w:rsidRPr="009A6BD2">
        <w:rPr>
          <w:rFonts w:ascii="Times New Roman" w:hAnsi="Times New Roman" w:cs="Comic Sans MS"/>
          <w:color w:val="000080"/>
          <w:sz w:val="20"/>
          <w:szCs w:val="20"/>
        </w:rPr>
        <w:t>I. - Le totem comme nom et comme emblème</w:t>
      </w:r>
    </w:p>
    <w:p w:rsidR="009A6BD2" w:rsidRPr="009A6BD2" w:rsidRDefault="003E2D0F">
      <w:pPr>
        <w:spacing w:before="60" w:after="60"/>
        <w:ind w:left="907" w:hanging="547"/>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1_1" w:history="1">
        <w:r w:rsidRPr="009A6BD2">
          <w:rPr>
            <w:rStyle w:val="Collegamentoipertestuale"/>
            <w:rFonts w:ascii="Times New Roman" w:hAnsi="Times New Roman" w:cs="Comic Sans MS"/>
            <w:sz w:val="20"/>
            <w:szCs w:val="20"/>
          </w:rPr>
          <w:t>Définiti</w:t>
        </w:r>
        <w:r w:rsidRPr="009A6BD2">
          <w:rPr>
            <w:rStyle w:val="Collegamentoipertestuale"/>
            <w:rFonts w:ascii="Times New Roman" w:hAnsi="Times New Roman" w:cs="Comic Sans MS"/>
            <w:sz w:val="20"/>
            <w:szCs w:val="20"/>
          </w:rPr>
          <w:t>on du clan</w:t>
        </w:r>
      </w:hyperlink>
      <w:r w:rsidRPr="009A6BD2">
        <w:rPr>
          <w:rFonts w:ascii="Times New Roman" w:hAnsi="Times New Roman" w:cs="Comic Sans MS"/>
          <w:sz w:val="20"/>
          <w:szCs w:val="20"/>
        </w:rPr>
        <w:t>. - Le totem comme nom du clan. - Nature des choses qui servent de totems. - Manières dont est acquis le totem. - Les totems de phratries, de classes matrimoniales</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w:t>
      </w:r>
      <w:hyperlink w:anchor="livre_2_chap_1_2" w:history="1">
        <w:r w:rsidRPr="009A6BD2">
          <w:rPr>
            <w:rStyle w:val="Collegamentoipertestuale"/>
            <w:rFonts w:ascii="Times New Roman" w:hAnsi="Times New Roman" w:cs="Comic Sans MS"/>
            <w:sz w:val="20"/>
            <w:szCs w:val="20"/>
          </w:rPr>
          <w:t>Le totem comme emblème</w:t>
        </w:r>
      </w:hyperlink>
      <w:r w:rsidRPr="009A6BD2">
        <w:rPr>
          <w:rFonts w:ascii="Times New Roman" w:hAnsi="Times New Roman" w:cs="Comic Sans MS"/>
          <w:sz w:val="20"/>
          <w:szCs w:val="20"/>
        </w:rPr>
        <w:t>. - Dessins tot</w:t>
      </w:r>
      <w:r w:rsidRPr="009A6BD2">
        <w:rPr>
          <w:rFonts w:ascii="Times New Roman" w:hAnsi="Times New Roman" w:cs="Comic Sans MS"/>
          <w:sz w:val="20"/>
          <w:szCs w:val="20"/>
        </w:rPr>
        <w:t>émiques gravés ou sculptés sur les objets; tatoués ou dessinés sur les corps</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w:t>
      </w:r>
      <w:hyperlink w:anchor="livre_2_chap_1_3" w:history="1">
        <w:r w:rsidRPr="009A6BD2">
          <w:rPr>
            <w:rStyle w:val="Collegamentoipertestuale"/>
            <w:rFonts w:ascii="Times New Roman" w:hAnsi="Times New Roman" w:cs="Comic Sans MS"/>
            <w:sz w:val="20"/>
            <w:szCs w:val="20"/>
          </w:rPr>
          <w:t>Caractère sacré de l'emblème totémique</w:t>
        </w:r>
      </w:hyperlink>
      <w:r w:rsidRPr="009A6BD2">
        <w:rPr>
          <w:rFonts w:ascii="Times New Roman" w:hAnsi="Times New Roman" w:cs="Comic Sans MS"/>
          <w:sz w:val="20"/>
          <w:szCs w:val="20"/>
        </w:rPr>
        <w:t>. - Les churinga. - Le nurtunja. - Le waninga. - Caractère conventionnel des emblèmes totémiques</w:t>
      </w:r>
      <w:r w:rsidRPr="009A6BD2">
        <w:rPr>
          <w:rFonts w:ascii="Times New Roman" w:hAnsi="Times New Roman" w:cs="Comic Sans MS"/>
          <w:sz w:val="20"/>
          <w:szCs w:val="20"/>
        </w:rPr>
        <w:t xml:space="preserve"> </w:t>
      </w:r>
    </w:p>
    <w:p w:rsidR="009A6BD2" w:rsidRPr="009A6BD2" w:rsidRDefault="003E2D0F">
      <w:pPr>
        <w:ind w:firstLine="0"/>
        <w:jc w:val="both"/>
        <w:rPr>
          <w:rFonts w:ascii="Times New Roman" w:hAnsi="Times New Roman" w:cs="Times"/>
          <w:sz w:val="20"/>
          <w:szCs w:val="20"/>
        </w:rPr>
      </w:pPr>
    </w:p>
    <w:p w:rsidR="009A6BD2" w:rsidRPr="009A6BD2" w:rsidRDefault="003E2D0F">
      <w:pPr>
        <w:pStyle w:val="tdmchap"/>
        <w:rPr>
          <w:rFonts w:ascii="Times New Roman" w:hAnsi="Times New Roman"/>
        </w:rPr>
      </w:pPr>
      <w:r w:rsidRPr="009A6BD2">
        <w:rPr>
          <w:rFonts w:ascii="Times New Roman" w:hAnsi="Times New Roman"/>
        </w:rPr>
        <w:t>CHAPITRE Il :</w:t>
      </w:r>
      <w:r w:rsidRPr="009A6BD2">
        <w:rPr>
          <w:rFonts w:ascii="Times New Roman" w:hAnsi="Times New Roman"/>
        </w:rPr>
        <w:tab/>
      </w:r>
      <w:hyperlink w:anchor="livre_2_chap_2" w:history="1">
        <w:r w:rsidRPr="009A6BD2">
          <w:rPr>
            <w:rStyle w:val="Collegamentoipertestuale"/>
            <w:rFonts w:ascii="Times New Roman" w:hAnsi="Times New Roman"/>
          </w:rPr>
          <w:t xml:space="preserve">Les croyances proprement totémiques </w:t>
        </w:r>
        <w:r w:rsidRPr="009A6BD2">
          <w:rPr>
            <w:rStyle w:val="Collegamentoipertestuale"/>
            <w:rFonts w:ascii="Times New Roman" w:hAnsi="Times New Roman"/>
            <w:i/>
            <w:iCs/>
          </w:rPr>
          <w:t>(suite)</w:t>
        </w:r>
      </w:hyperlink>
      <w:r w:rsidRPr="009A6BD2">
        <w:rPr>
          <w:rFonts w:ascii="Times New Roman" w:hAnsi="Times New Roman"/>
        </w:rPr>
        <w:t xml:space="preserve"> </w:t>
      </w:r>
    </w:p>
    <w:p w:rsidR="009A6BD2" w:rsidRPr="009A6BD2" w:rsidRDefault="003E2D0F">
      <w:pPr>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 - L'animal totémique et l'homme</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2_1" w:history="1">
        <w:r w:rsidRPr="009A6BD2">
          <w:rPr>
            <w:rStyle w:val="Collegamentoipertestuale"/>
            <w:rFonts w:ascii="Times New Roman" w:hAnsi="Times New Roman" w:cs="Comic Sans MS"/>
            <w:sz w:val="20"/>
            <w:szCs w:val="20"/>
          </w:rPr>
          <w:t>Caractère sacré des animaux totémiques</w:t>
        </w:r>
      </w:hyperlink>
      <w:r w:rsidRPr="009A6BD2">
        <w:rPr>
          <w:rFonts w:ascii="Times New Roman" w:hAnsi="Times New Roman" w:cs="Comic Sans MS"/>
          <w:sz w:val="20"/>
          <w:szCs w:val="20"/>
        </w:rPr>
        <w:t xml:space="preserve">. - Interdiction de les manger, de les </w:t>
      </w:r>
      <w:r w:rsidRPr="009A6BD2">
        <w:rPr>
          <w:rFonts w:ascii="Times New Roman" w:hAnsi="Times New Roman" w:cs="Comic Sans MS"/>
          <w:sz w:val="20"/>
          <w:szCs w:val="20"/>
        </w:rPr>
        <w:t>tuer, de cueillir les plantes totémiques</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ab/>
        <w:t>Tempéraments divers apportés à ces interdictions. - Prohibitions de contact. - Le caractère sacré de l'animal est moins prononcé que celui de l'emblème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w:t>
      </w:r>
      <w:hyperlink w:anchor="livre_2_chap_2_2" w:history="1">
        <w:r w:rsidRPr="009A6BD2">
          <w:rPr>
            <w:rStyle w:val="Collegamentoipertestuale"/>
            <w:rFonts w:ascii="Times New Roman" w:hAnsi="Times New Roman" w:cs="Comic Sans MS"/>
            <w:sz w:val="20"/>
            <w:szCs w:val="20"/>
          </w:rPr>
          <w:t>L'homme</w:t>
        </w:r>
      </w:hyperlink>
      <w:r w:rsidRPr="009A6BD2">
        <w:rPr>
          <w:rFonts w:ascii="Times New Roman" w:hAnsi="Times New Roman" w:cs="Comic Sans MS"/>
          <w:sz w:val="20"/>
          <w:szCs w:val="20"/>
        </w:rPr>
        <w:t>. - Sa pare</w:t>
      </w:r>
      <w:r w:rsidRPr="009A6BD2">
        <w:rPr>
          <w:rFonts w:ascii="Times New Roman" w:hAnsi="Times New Roman" w:cs="Comic Sans MS"/>
          <w:sz w:val="20"/>
          <w:szCs w:val="20"/>
        </w:rPr>
        <w:t>nté avec l'animal ou la plante totémique, - Mythes divers qui expliquent cette parenté. - Le caractère sacré de l'homme est plus apparent sur certains points de l'organisme: le sang, les cheveux, etc. - Comment ce caractère varie avec le sexe et l'âge. - L</w:t>
      </w:r>
      <w:r w:rsidRPr="009A6BD2">
        <w:rPr>
          <w:rFonts w:ascii="Times New Roman" w:hAnsi="Times New Roman" w:cs="Comic Sans MS"/>
          <w:sz w:val="20"/>
          <w:szCs w:val="20"/>
        </w:rPr>
        <w:t>e totémisme n'est pas une zoolâtrie ni une phytolâtrie</w:t>
      </w: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III :</w:t>
      </w:r>
      <w:r w:rsidRPr="009A6BD2">
        <w:rPr>
          <w:rFonts w:ascii="Times New Roman" w:hAnsi="Times New Roman"/>
        </w:rPr>
        <w:tab/>
      </w:r>
      <w:hyperlink w:anchor="livre_2_chap_3" w:history="1">
        <w:r w:rsidRPr="009A6BD2">
          <w:rPr>
            <w:rStyle w:val="Collegamentoipertestuale"/>
            <w:rFonts w:ascii="Times New Roman" w:hAnsi="Times New Roman"/>
          </w:rPr>
          <w:t xml:space="preserve">Les croyances proprement totémiques </w:t>
        </w:r>
        <w:r w:rsidRPr="009A6BD2">
          <w:rPr>
            <w:rStyle w:val="Collegamentoipertestuale"/>
            <w:rFonts w:ascii="Times New Roman" w:hAnsi="Times New Roman"/>
            <w:i/>
            <w:iCs/>
          </w:rPr>
          <w:t>(suite)</w:t>
        </w:r>
      </w:hyperlink>
      <w:r w:rsidRPr="009A6BD2">
        <w:rPr>
          <w:rFonts w:ascii="Times New Roman" w:hAnsi="Times New Roman"/>
        </w:rPr>
        <w:t xml:space="preserve"> </w:t>
      </w:r>
    </w:p>
    <w:p w:rsidR="009A6BD2" w:rsidRPr="009A6BD2" w:rsidRDefault="003E2D0F">
      <w:pPr>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III.</w:t>
      </w:r>
      <w:r w:rsidRPr="009A6BD2">
        <w:rPr>
          <w:rFonts w:ascii="Times New Roman" w:hAnsi="Times New Roman" w:cs="Comic Sans MS"/>
          <w:color w:val="000080"/>
          <w:sz w:val="20"/>
          <w:szCs w:val="20"/>
        </w:rPr>
        <w:tab/>
        <w:t>Le système cosmologique du totémisme et la notion de genre</w:t>
      </w:r>
    </w:p>
    <w:p w:rsidR="009A6BD2" w:rsidRPr="009A6BD2" w:rsidRDefault="003E2D0F">
      <w:pPr>
        <w:tabs>
          <w:tab w:val="left" w:pos="900"/>
        </w:tabs>
        <w:ind w:left="900" w:hanging="540"/>
        <w:jc w:val="both"/>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 xml:space="preserve"> I.</w:t>
      </w:r>
      <w:r w:rsidRPr="009A6BD2">
        <w:rPr>
          <w:rFonts w:ascii="Times New Roman" w:hAnsi="Times New Roman" w:cs="Comic Sans MS"/>
          <w:sz w:val="20"/>
          <w:szCs w:val="20"/>
        </w:rPr>
        <w:tab/>
        <w:t xml:space="preserve">- </w:t>
      </w:r>
      <w:hyperlink w:anchor="livre_2_chap_3_1" w:history="1">
        <w:r w:rsidRPr="009A6BD2">
          <w:rPr>
            <w:rStyle w:val="Collegamentoipertestuale"/>
            <w:rFonts w:ascii="Times New Roman" w:hAnsi="Times New Roman" w:cs="Comic Sans MS"/>
            <w:sz w:val="20"/>
            <w:szCs w:val="20"/>
          </w:rPr>
          <w:t>Les classifications des choses par clans, phratries, classes</w:t>
        </w:r>
      </w:hyperlink>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Il.</w:t>
      </w:r>
      <w:r w:rsidRPr="009A6BD2">
        <w:rPr>
          <w:rFonts w:ascii="Times New Roman" w:hAnsi="Times New Roman" w:cs="Comic Sans MS"/>
          <w:sz w:val="20"/>
          <w:szCs w:val="20"/>
        </w:rPr>
        <w:tab/>
        <w:t xml:space="preserve">- </w:t>
      </w:r>
      <w:hyperlink w:anchor="livre_2_chap_3_2" w:history="1">
        <w:r w:rsidRPr="009A6BD2">
          <w:rPr>
            <w:rStyle w:val="Collegamentoipertestuale"/>
            <w:rFonts w:ascii="Times New Roman" w:hAnsi="Times New Roman" w:cs="Comic Sans MS"/>
            <w:sz w:val="20"/>
            <w:szCs w:val="20"/>
          </w:rPr>
          <w:t>Genèse de la notion de genre : les premières classifications de choses empruntent leurs cadres à la société</w:t>
        </w:r>
      </w:hyperlink>
      <w:r w:rsidRPr="009A6BD2">
        <w:rPr>
          <w:rFonts w:ascii="Times New Roman" w:hAnsi="Times New Roman" w:cs="Comic Sans MS"/>
          <w:sz w:val="20"/>
          <w:szCs w:val="20"/>
        </w:rPr>
        <w:t>. - Différences entre le sentiment des</w:t>
      </w:r>
      <w:r w:rsidRPr="009A6BD2">
        <w:rPr>
          <w:rFonts w:ascii="Times New Roman" w:hAnsi="Times New Roman" w:cs="Comic Sans MS"/>
          <w:sz w:val="20"/>
          <w:szCs w:val="20"/>
        </w:rPr>
        <w:t xml:space="preserve"> ressemblances et l'idée de genre. - Pourquoi celle-ci est d'origine sociale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w:t>
      </w:r>
      <w:hyperlink w:anchor="livre_2_chap_3_3" w:history="1">
        <w:r w:rsidRPr="009A6BD2">
          <w:rPr>
            <w:rStyle w:val="Collegamentoipertestuale"/>
            <w:rFonts w:ascii="Times New Roman" w:hAnsi="Times New Roman" w:cs="Comic Sans MS"/>
            <w:sz w:val="20"/>
            <w:szCs w:val="20"/>
          </w:rPr>
          <w:t>Signification religieuse de ces classifications : toutes les choses classées dans un clan participent de la nature du totem et de son c</w:t>
        </w:r>
        <w:r w:rsidRPr="009A6BD2">
          <w:rPr>
            <w:rStyle w:val="Collegamentoipertestuale"/>
            <w:rFonts w:ascii="Times New Roman" w:hAnsi="Times New Roman" w:cs="Comic Sans MS"/>
            <w:sz w:val="20"/>
            <w:szCs w:val="20"/>
          </w:rPr>
          <w:t>aractère sacré</w:t>
        </w:r>
      </w:hyperlink>
      <w:r w:rsidRPr="009A6BD2">
        <w:rPr>
          <w:rFonts w:ascii="Times New Roman" w:hAnsi="Times New Roman" w:cs="Comic Sans MS"/>
          <w:sz w:val="20"/>
          <w:szCs w:val="20"/>
        </w:rPr>
        <w:t>. - Le système cosmologique du totémisme. - Le totémisme comme religion tribale</w:t>
      </w:r>
    </w:p>
    <w:p w:rsidR="009A6BD2" w:rsidRPr="009A6BD2" w:rsidRDefault="003E2D0F">
      <w:pPr>
        <w:pStyle w:val="tdmchap"/>
        <w:rPr>
          <w:rFonts w:ascii="Times New Roman" w:hAnsi="Times New Roman"/>
        </w:rPr>
      </w:pPr>
      <w:r w:rsidRPr="009A6BD2">
        <w:rPr>
          <w:rFonts w:ascii="Times New Roman" w:hAnsi="Times New Roman"/>
        </w:rPr>
        <w:br w:type="page"/>
      </w:r>
      <w:r w:rsidRPr="009A6BD2">
        <w:rPr>
          <w:rFonts w:ascii="Times New Roman" w:hAnsi="Times New Roman"/>
        </w:rPr>
        <w:lastRenderedPageBreak/>
        <w:t>CHAPITRE IV :</w:t>
      </w:r>
      <w:r w:rsidRPr="009A6BD2">
        <w:rPr>
          <w:rFonts w:ascii="Times New Roman" w:hAnsi="Times New Roman"/>
        </w:rPr>
        <w:tab/>
      </w:r>
      <w:hyperlink w:anchor="livre_2_chap_4" w:history="1">
        <w:r w:rsidRPr="009A6BD2">
          <w:rPr>
            <w:rStyle w:val="Collegamentoipertestuale"/>
            <w:rFonts w:ascii="Times New Roman" w:hAnsi="Times New Roman"/>
          </w:rPr>
          <w:t xml:space="preserve">Les croyances proprement totémiques </w:t>
        </w:r>
        <w:r w:rsidRPr="009A6BD2">
          <w:rPr>
            <w:rStyle w:val="Collegamentoipertestuale"/>
            <w:rFonts w:ascii="Times New Roman" w:hAnsi="Times New Roman"/>
            <w:i/>
            <w:iCs/>
          </w:rPr>
          <w:t>(fin)</w:t>
        </w:r>
      </w:hyperlink>
      <w:r w:rsidRPr="009A6BD2">
        <w:rPr>
          <w:rFonts w:ascii="Times New Roman" w:hAnsi="Times New Roman"/>
        </w:rPr>
        <w:t xml:space="preserve"> </w:t>
      </w:r>
    </w:p>
    <w:p w:rsidR="009A6BD2" w:rsidRPr="009A6BD2" w:rsidRDefault="003E2D0F">
      <w:pPr>
        <w:tabs>
          <w:tab w:val="left" w:pos="1800"/>
        </w:tabs>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IV. - Le totem individuel et le totem sexuel</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4_1" w:history="1">
        <w:r w:rsidRPr="009A6BD2">
          <w:rPr>
            <w:rStyle w:val="Collegamentoipertestuale"/>
            <w:rFonts w:ascii="Times New Roman" w:hAnsi="Times New Roman" w:cs="Comic Sans MS"/>
            <w:sz w:val="20"/>
            <w:szCs w:val="20"/>
          </w:rPr>
          <w:t>Le totem individuel comme prénom; son caractère sacré</w:t>
        </w:r>
      </w:hyperlink>
      <w:r w:rsidRPr="009A6BD2">
        <w:rPr>
          <w:rFonts w:ascii="Times New Roman" w:hAnsi="Times New Roman" w:cs="Comic Sans MS"/>
          <w:sz w:val="20"/>
          <w:szCs w:val="20"/>
        </w:rPr>
        <w:t xml:space="preserve">. - Le totem individuel comme emblème personnel. - Liens entre l'homme et son totem individuel. - Rapports avec le totem collectif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Il.</w:t>
      </w:r>
      <w:r w:rsidRPr="009A6BD2">
        <w:rPr>
          <w:rFonts w:ascii="Times New Roman" w:hAnsi="Times New Roman" w:cs="Comic Sans MS"/>
          <w:sz w:val="20"/>
          <w:szCs w:val="20"/>
        </w:rPr>
        <w:tab/>
        <w:t xml:space="preserve">- </w:t>
      </w:r>
      <w:hyperlink w:anchor="livre_2_chap_4_2" w:history="1">
        <w:r w:rsidRPr="009A6BD2">
          <w:rPr>
            <w:rStyle w:val="Collegamentoipertestuale"/>
            <w:rFonts w:ascii="Times New Roman" w:hAnsi="Times New Roman" w:cs="Comic Sans MS"/>
            <w:sz w:val="20"/>
            <w:szCs w:val="20"/>
          </w:rPr>
          <w:t>Les t</w:t>
        </w:r>
        <w:r w:rsidRPr="009A6BD2">
          <w:rPr>
            <w:rStyle w:val="Collegamentoipertestuale"/>
            <w:rFonts w:ascii="Times New Roman" w:hAnsi="Times New Roman" w:cs="Comic Sans MS"/>
            <w:sz w:val="20"/>
            <w:szCs w:val="20"/>
          </w:rPr>
          <w:t>otems des groupes sexuels</w:t>
        </w:r>
      </w:hyperlink>
      <w:r w:rsidRPr="009A6BD2">
        <w:rPr>
          <w:rFonts w:ascii="Times New Roman" w:hAnsi="Times New Roman" w:cs="Comic Sans MS"/>
          <w:sz w:val="20"/>
          <w:szCs w:val="20"/>
        </w:rPr>
        <w:t>. - Ressemblances et différences avec les totems collectifs et individuels. - Leur caractère tribal</w:t>
      </w: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V :</w:t>
      </w:r>
      <w:r w:rsidRPr="009A6BD2">
        <w:rPr>
          <w:rFonts w:ascii="Times New Roman" w:hAnsi="Times New Roman"/>
        </w:rPr>
        <w:tab/>
      </w:r>
      <w:hyperlink w:anchor="livre_2_chap_5" w:history="1">
        <w:r w:rsidRPr="009A6BD2">
          <w:rPr>
            <w:rStyle w:val="Collegamentoipertestuale"/>
            <w:rFonts w:ascii="Times New Roman" w:hAnsi="Times New Roman"/>
          </w:rPr>
          <w:t>Origines de ces croyances</w:t>
        </w:r>
      </w:hyperlink>
    </w:p>
    <w:p w:rsidR="009A6BD2" w:rsidRPr="009A6BD2" w:rsidRDefault="003E2D0F">
      <w:pPr>
        <w:tabs>
          <w:tab w:val="left" w:pos="1800"/>
        </w:tabs>
        <w:ind w:firstLine="0"/>
        <w:rPr>
          <w:rFonts w:ascii="Times New Roman" w:hAnsi="Times New Roman" w:cs="Time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 - Examen critique des théories</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5_1" w:history="1">
        <w:r w:rsidRPr="009A6BD2">
          <w:rPr>
            <w:rStyle w:val="Collegamentoipertestuale"/>
            <w:rFonts w:ascii="Times New Roman" w:hAnsi="Times New Roman" w:cs="Comic Sans MS"/>
            <w:sz w:val="20"/>
            <w:szCs w:val="20"/>
          </w:rPr>
          <w:t>Théories qui dérivent le totémisme d'une religion antérieure</w:t>
        </w:r>
      </w:hyperlink>
      <w:r w:rsidRPr="009A6BD2">
        <w:rPr>
          <w:rFonts w:ascii="Times New Roman" w:hAnsi="Times New Roman" w:cs="Comic Sans MS"/>
          <w:sz w:val="20"/>
          <w:szCs w:val="20"/>
        </w:rPr>
        <w:t xml:space="preserve"> : du culte des ancêtres (Wilken et Tylor) du culte de la nature (Jevons). - Critique de ces théories</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w:t>
      </w:r>
      <w:hyperlink w:anchor="livre_2_chap_5_2" w:history="1">
        <w:r w:rsidRPr="009A6BD2">
          <w:rPr>
            <w:rStyle w:val="Collegamentoipertestuale"/>
            <w:rFonts w:ascii="Times New Roman" w:hAnsi="Times New Roman" w:cs="Comic Sans MS"/>
            <w:sz w:val="20"/>
            <w:szCs w:val="20"/>
          </w:rPr>
          <w:t>Théories qui dérivent le t</w:t>
        </w:r>
        <w:r w:rsidRPr="009A6BD2">
          <w:rPr>
            <w:rStyle w:val="Collegamentoipertestuale"/>
            <w:rFonts w:ascii="Times New Roman" w:hAnsi="Times New Roman" w:cs="Comic Sans MS"/>
            <w:sz w:val="20"/>
            <w:szCs w:val="20"/>
          </w:rPr>
          <w:t>otémisme collectif du totémisme individuel</w:t>
        </w:r>
      </w:hyperlink>
      <w:r w:rsidRPr="009A6BD2">
        <w:rPr>
          <w:rFonts w:ascii="Times New Roman" w:hAnsi="Times New Roman" w:cs="Comic Sans MS"/>
          <w:sz w:val="20"/>
          <w:szCs w:val="20"/>
        </w:rPr>
        <w:t xml:space="preserve">. - Origines attribuées par ces théories au totem individuel (Frazer, Boas, Hill Tout). - Invraisemblance de ces hypothèses. - Raisons qui démontrent l'antériorité du totem collectif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w:t>
      </w:r>
      <w:hyperlink w:anchor="livre_2_chap_5_3" w:history="1">
        <w:r w:rsidRPr="009A6BD2">
          <w:rPr>
            <w:rStyle w:val="Collegamentoipertestuale"/>
            <w:rFonts w:ascii="Times New Roman" w:hAnsi="Times New Roman" w:cs="Comic Sans MS"/>
            <w:sz w:val="20"/>
            <w:szCs w:val="20"/>
          </w:rPr>
          <w:t xml:space="preserve">Théorie récente de Frazer : le totémisme </w:t>
        </w:r>
        <w:r w:rsidRPr="009A6BD2">
          <w:rPr>
            <w:rStyle w:val="Collegamentoipertestuale"/>
            <w:rFonts w:ascii="Times New Roman" w:hAnsi="Times New Roman" w:cs="Comic Sans MS"/>
            <w:i/>
            <w:iCs/>
            <w:sz w:val="20"/>
            <w:szCs w:val="20"/>
          </w:rPr>
          <w:t xml:space="preserve">conceptionnel </w:t>
        </w:r>
        <w:r w:rsidRPr="009A6BD2">
          <w:rPr>
            <w:rStyle w:val="Collegamentoipertestuale"/>
            <w:rFonts w:ascii="Times New Roman" w:hAnsi="Times New Roman" w:cs="Comic Sans MS"/>
            <w:sz w:val="20"/>
            <w:szCs w:val="20"/>
          </w:rPr>
          <w:t>et local</w:t>
        </w:r>
      </w:hyperlink>
      <w:r w:rsidRPr="009A6BD2">
        <w:rPr>
          <w:rFonts w:ascii="Times New Roman" w:hAnsi="Times New Roman" w:cs="Comic Sans MS"/>
          <w:sz w:val="20"/>
          <w:szCs w:val="20"/>
        </w:rPr>
        <w:t xml:space="preserve">. - Pétition de principe sur laquelle elle repose. - Le caractère religieux du totem est nié. - Le totémisme local n'est pas primitif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xml:space="preserve">- </w:t>
      </w:r>
      <w:hyperlink w:anchor="livre_2_chap_5_4" w:history="1">
        <w:r w:rsidRPr="009A6BD2">
          <w:rPr>
            <w:rStyle w:val="Collegamentoipertestuale"/>
            <w:rFonts w:ascii="Times New Roman" w:hAnsi="Times New Roman" w:cs="Comic Sans MS"/>
            <w:sz w:val="20"/>
            <w:szCs w:val="20"/>
          </w:rPr>
          <w:t>Théorie de Lang : le totem ne serait qu'un nom</w:t>
        </w:r>
      </w:hyperlink>
      <w:r w:rsidRPr="009A6BD2">
        <w:rPr>
          <w:rFonts w:ascii="Times New Roman" w:hAnsi="Times New Roman" w:cs="Comic Sans MS"/>
          <w:sz w:val="20"/>
          <w:szCs w:val="20"/>
        </w:rPr>
        <w:t xml:space="preserve">. - Difficultés pour expliquer de ce point de vue le caractère religieux des pratiques totémiques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w:t>
      </w:r>
      <w:r w:rsidRPr="009A6BD2">
        <w:rPr>
          <w:rFonts w:ascii="Times New Roman" w:hAnsi="Times New Roman" w:cs="Comic Sans MS"/>
          <w:sz w:val="20"/>
          <w:szCs w:val="20"/>
        </w:rPr>
        <w:tab/>
        <w:t xml:space="preserve">- </w:t>
      </w:r>
      <w:hyperlink w:anchor="livre_2_chap_5_5" w:history="1">
        <w:r w:rsidRPr="009A6BD2">
          <w:rPr>
            <w:rStyle w:val="Collegamentoipertestuale"/>
            <w:rFonts w:ascii="Times New Roman" w:hAnsi="Times New Roman" w:cs="Comic Sans MS"/>
            <w:sz w:val="20"/>
            <w:szCs w:val="20"/>
          </w:rPr>
          <w:t>Toutes ces théories n'expliquent le totémisme qu'en postulant des n</w:t>
        </w:r>
        <w:r w:rsidRPr="009A6BD2">
          <w:rPr>
            <w:rStyle w:val="Collegamentoipertestuale"/>
            <w:rFonts w:ascii="Times New Roman" w:hAnsi="Times New Roman" w:cs="Comic Sans MS"/>
            <w:sz w:val="20"/>
            <w:szCs w:val="20"/>
          </w:rPr>
          <w:t>otions religieuses qui lui seraient antérieures</w:t>
        </w:r>
      </w:hyperlink>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i/>
          <w:iCs/>
        </w:rPr>
      </w:pPr>
      <w:r w:rsidRPr="009A6BD2">
        <w:rPr>
          <w:rFonts w:ascii="Times New Roman" w:hAnsi="Times New Roman"/>
        </w:rPr>
        <w:t>CHAPITRE VI :</w:t>
      </w:r>
      <w:r w:rsidRPr="009A6BD2">
        <w:rPr>
          <w:rFonts w:ascii="Times New Roman" w:hAnsi="Times New Roman"/>
        </w:rPr>
        <w:tab/>
      </w:r>
      <w:hyperlink w:anchor="livre_2_chap_6" w:history="1">
        <w:r w:rsidRPr="009A6BD2">
          <w:rPr>
            <w:rStyle w:val="Collegamentoipertestuale"/>
            <w:rFonts w:ascii="Times New Roman" w:hAnsi="Times New Roman"/>
          </w:rPr>
          <w:t xml:space="preserve">Origines de ces croyances </w:t>
        </w:r>
        <w:r w:rsidRPr="009A6BD2">
          <w:rPr>
            <w:rStyle w:val="Collegamentoipertestuale"/>
            <w:rFonts w:ascii="Times New Roman" w:hAnsi="Times New Roman"/>
            <w:i/>
            <w:iCs/>
          </w:rPr>
          <w:t>(suite)</w:t>
        </w:r>
      </w:hyperlink>
    </w:p>
    <w:p w:rsidR="009A6BD2" w:rsidRPr="009A6BD2" w:rsidRDefault="003E2D0F">
      <w:pPr>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 - La notion de principe ou mana totémique et l'idée de force</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6_1" w:history="1">
        <w:r w:rsidRPr="009A6BD2">
          <w:rPr>
            <w:rStyle w:val="Collegamentoipertestuale"/>
            <w:rFonts w:ascii="Times New Roman" w:hAnsi="Times New Roman" w:cs="Comic Sans MS"/>
            <w:sz w:val="20"/>
            <w:szCs w:val="20"/>
          </w:rPr>
          <w:t xml:space="preserve">La notion de </w:t>
        </w:r>
        <w:r w:rsidRPr="009A6BD2">
          <w:rPr>
            <w:rStyle w:val="Collegamentoipertestuale"/>
            <w:rFonts w:ascii="Times New Roman" w:hAnsi="Times New Roman" w:cs="Comic Sans MS"/>
            <w:sz w:val="20"/>
            <w:szCs w:val="20"/>
          </w:rPr>
          <w:t>force ou principe totémique</w:t>
        </w:r>
      </w:hyperlink>
      <w:r w:rsidRPr="009A6BD2">
        <w:rPr>
          <w:rFonts w:ascii="Times New Roman" w:hAnsi="Times New Roman" w:cs="Comic Sans MS"/>
          <w:sz w:val="20"/>
          <w:szCs w:val="20"/>
        </w:rPr>
        <w:t>. - Son ubiquité. - Son caractère à la fois physique et moral</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w:t>
      </w:r>
      <w:hyperlink w:anchor="livre_2_chap_6_2" w:history="1">
        <w:r w:rsidRPr="009A6BD2">
          <w:rPr>
            <w:rStyle w:val="Collegamentoipertestuale"/>
            <w:rFonts w:ascii="Times New Roman" w:hAnsi="Times New Roman" w:cs="Comic Sans MS"/>
            <w:sz w:val="20"/>
            <w:szCs w:val="20"/>
          </w:rPr>
          <w:t>Conceptions analogues dans d'autres sociétés intérieures</w:t>
        </w:r>
      </w:hyperlink>
      <w:r w:rsidRPr="009A6BD2">
        <w:rPr>
          <w:rFonts w:ascii="Times New Roman" w:hAnsi="Times New Roman" w:cs="Comic Sans MS"/>
          <w:sz w:val="20"/>
          <w:szCs w:val="20"/>
        </w:rPr>
        <w:t>. - Les dieux à Samoa. - Le wakan des Sioux, l'orenda des Iroquois</w:t>
      </w:r>
      <w:r w:rsidRPr="009A6BD2">
        <w:rPr>
          <w:rFonts w:ascii="Times New Roman" w:hAnsi="Times New Roman" w:cs="Comic Sans MS"/>
          <w:sz w:val="20"/>
          <w:szCs w:val="20"/>
        </w:rPr>
        <w:t>, le mana en Mélanésie. - Rapports de ces notions avec le totémisme. - L'Arùnkulta der, Arunta</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w:t>
      </w:r>
      <w:hyperlink w:anchor="livre_2_chap_6_3" w:history="1">
        <w:r w:rsidRPr="009A6BD2">
          <w:rPr>
            <w:rStyle w:val="Collegamentoipertestuale"/>
            <w:rFonts w:ascii="Times New Roman" w:hAnsi="Times New Roman" w:cs="Comic Sans MS"/>
            <w:sz w:val="20"/>
            <w:szCs w:val="20"/>
          </w:rPr>
          <w:t>Antériorité logique de la notion de force impersonnelle sur les différentes personnalités mythiques</w:t>
        </w:r>
      </w:hyperlink>
      <w:r w:rsidRPr="009A6BD2">
        <w:rPr>
          <w:rFonts w:ascii="Times New Roman" w:hAnsi="Times New Roman" w:cs="Comic Sans MS"/>
          <w:sz w:val="20"/>
          <w:szCs w:val="20"/>
        </w:rPr>
        <w:t>. - Théories réce</w:t>
      </w:r>
      <w:r w:rsidRPr="009A6BD2">
        <w:rPr>
          <w:rFonts w:ascii="Times New Roman" w:hAnsi="Times New Roman" w:cs="Comic Sans MS"/>
          <w:sz w:val="20"/>
          <w:szCs w:val="20"/>
        </w:rPr>
        <w:t>ntes qui tendent à admettre cette antériorité</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xml:space="preserve">- </w:t>
      </w:r>
      <w:hyperlink w:anchor="livre_2_chap_6_4" w:history="1">
        <w:r w:rsidRPr="009A6BD2">
          <w:rPr>
            <w:rStyle w:val="Collegamentoipertestuale"/>
            <w:rFonts w:ascii="Times New Roman" w:hAnsi="Times New Roman" w:cs="Comic Sans MS"/>
            <w:sz w:val="20"/>
            <w:szCs w:val="20"/>
          </w:rPr>
          <w:t>La notion de force religieuse est le prototype de la notion de force en général</w:t>
        </w:r>
      </w:hyperlink>
      <w:r w:rsidRPr="009A6BD2">
        <w:rPr>
          <w:rFonts w:ascii="Times New Roman" w:hAnsi="Times New Roman" w:cs="Comic Sans MS"/>
          <w:sz w:val="20"/>
          <w:szCs w:val="20"/>
        </w:rPr>
        <w:t xml:space="preserve"> </w:t>
      </w:r>
    </w:p>
    <w:p w:rsidR="009A6BD2" w:rsidRPr="009A6BD2" w:rsidRDefault="003E2D0F">
      <w:pPr>
        <w:pStyle w:val="tdmchap"/>
        <w:rPr>
          <w:rFonts w:ascii="Times New Roman" w:hAnsi="Times New Roman"/>
          <w:i/>
          <w:iCs/>
        </w:rPr>
      </w:pPr>
      <w:r w:rsidRPr="009A6BD2">
        <w:rPr>
          <w:rFonts w:ascii="Times New Roman" w:hAnsi="Times New Roman"/>
        </w:rPr>
        <w:br w:type="page"/>
      </w:r>
      <w:r w:rsidRPr="009A6BD2">
        <w:rPr>
          <w:rFonts w:ascii="Times New Roman" w:hAnsi="Times New Roman"/>
        </w:rPr>
        <w:lastRenderedPageBreak/>
        <w:t>CHAPITRE VII :</w:t>
      </w:r>
      <w:r w:rsidRPr="009A6BD2">
        <w:rPr>
          <w:rFonts w:ascii="Times New Roman" w:hAnsi="Times New Roman"/>
        </w:rPr>
        <w:tab/>
      </w:r>
      <w:hyperlink w:anchor="livre_2_chap_7" w:history="1">
        <w:r w:rsidRPr="009A6BD2">
          <w:rPr>
            <w:rStyle w:val="Collegamentoipertestuale"/>
            <w:rFonts w:ascii="Times New Roman" w:hAnsi="Times New Roman"/>
          </w:rPr>
          <w:t xml:space="preserve">Origines de ces croyances </w:t>
        </w:r>
        <w:r w:rsidRPr="009A6BD2">
          <w:rPr>
            <w:rStyle w:val="Collegamentoipertestuale"/>
            <w:rFonts w:ascii="Times New Roman" w:hAnsi="Times New Roman"/>
            <w:i/>
            <w:iCs/>
          </w:rPr>
          <w:t>(fin)</w:t>
        </w:r>
      </w:hyperlink>
    </w:p>
    <w:p w:rsidR="009A6BD2" w:rsidRPr="009A6BD2" w:rsidRDefault="003E2D0F">
      <w:pPr>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III. - Genèse de la notion de principe ou mana totémique</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7_1" w:history="1">
        <w:r w:rsidRPr="009A6BD2">
          <w:rPr>
            <w:rStyle w:val="Collegamentoipertestuale"/>
            <w:rFonts w:ascii="Times New Roman" w:hAnsi="Times New Roman" w:cs="Comic Sans MS"/>
            <w:sz w:val="20"/>
            <w:szCs w:val="20"/>
          </w:rPr>
          <w:t>Le principe totémique est le clan, mais pensé sous des espèces sensibles</w:t>
        </w:r>
      </w:hyperlink>
      <w:r w:rsidRPr="009A6BD2">
        <w:rPr>
          <w:rFonts w:ascii="Times New Roman" w:hAnsi="Times New Roman" w:cs="Comic Sans MS"/>
          <w:sz w:val="20"/>
          <w:szCs w:val="20"/>
        </w:rPr>
        <w:t xml:space="preserv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Il.</w:t>
      </w:r>
      <w:r w:rsidRPr="009A6BD2">
        <w:rPr>
          <w:rFonts w:ascii="Times New Roman" w:hAnsi="Times New Roman" w:cs="Comic Sans MS"/>
          <w:sz w:val="20"/>
          <w:szCs w:val="20"/>
        </w:rPr>
        <w:tab/>
        <w:t xml:space="preserve">- </w:t>
      </w:r>
      <w:hyperlink w:anchor="livre_2_chap_7_2" w:history="1">
        <w:r w:rsidRPr="009A6BD2">
          <w:rPr>
            <w:rStyle w:val="Collegamentoipertestuale"/>
            <w:rFonts w:ascii="Times New Roman" w:hAnsi="Times New Roman" w:cs="Comic Sans MS"/>
            <w:sz w:val="20"/>
            <w:szCs w:val="20"/>
          </w:rPr>
          <w:t>Raisons générales pour lesquelles la s</w:t>
        </w:r>
        <w:r w:rsidRPr="009A6BD2">
          <w:rPr>
            <w:rStyle w:val="Collegamentoipertestuale"/>
            <w:rFonts w:ascii="Times New Roman" w:hAnsi="Times New Roman" w:cs="Comic Sans MS"/>
            <w:sz w:val="20"/>
            <w:szCs w:val="20"/>
          </w:rPr>
          <w:t>ociété est apte à éveiller la sensation du sacré et du divin</w:t>
        </w:r>
      </w:hyperlink>
      <w:r w:rsidRPr="009A6BD2">
        <w:rPr>
          <w:rFonts w:ascii="Times New Roman" w:hAnsi="Times New Roman" w:cs="Comic Sans MS"/>
          <w:sz w:val="20"/>
          <w:szCs w:val="20"/>
        </w:rPr>
        <w:t>. -La société comme puissance morale impérative; la notion d'autorité morale. - La société comme force qui élève l'individu au-dessus de lui-même. - Faits qui prouvent que la société crée du sacr</w:t>
      </w:r>
      <w:r w:rsidRPr="009A6BD2">
        <w:rPr>
          <w:rFonts w:ascii="Times New Roman" w:hAnsi="Times New Roman" w:cs="Comic Sans MS"/>
          <w:sz w:val="20"/>
          <w:szCs w:val="20"/>
        </w:rPr>
        <w:t>é</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w:t>
      </w:r>
      <w:hyperlink w:anchor="livre_2_chap_7_3" w:history="1">
        <w:r w:rsidRPr="009A6BD2">
          <w:rPr>
            <w:rStyle w:val="Collegamentoipertestuale"/>
            <w:rFonts w:ascii="Times New Roman" w:hAnsi="Times New Roman" w:cs="Comic Sans MS"/>
            <w:sz w:val="20"/>
            <w:szCs w:val="20"/>
          </w:rPr>
          <w:t>Baisons spéciales aux sociétés australiennes</w:t>
        </w:r>
      </w:hyperlink>
      <w:r w:rsidRPr="009A6BD2">
        <w:rPr>
          <w:rFonts w:ascii="Times New Roman" w:hAnsi="Times New Roman" w:cs="Comic Sans MS"/>
          <w:sz w:val="20"/>
          <w:szCs w:val="20"/>
        </w:rPr>
        <w:t>. - Les deux phases par lesquelles passe alternativement la vie de ces sociétés : dispersion, concentration. - Grande effervescence collective pendant les périodes d</w:t>
      </w:r>
      <w:r w:rsidRPr="009A6BD2">
        <w:rPr>
          <w:rFonts w:ascii="Times New Roman" w:hAnsi="Times New Roman" w:cs="Comic Sans MS"/>
          <w:sz w:val="20"/>
          <w:szCs w:val="20"/>
        </w:rPr>
        <w:t>e concentration. Exemples. - Comment l'idée religieuse est née de cette effervescence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ab/>
        <w:t>Pourquoi la force collective a été pensée sous les espèces du totem : c'est que le totem est l'emblème du clan. - Explication des principales croyances totémiques</w:t>
      </w:r>
    </w:p>
    <w:p w:rsidR="009A6BD2" w:rsidRPr="009A6BD2" w:rsidRDefault="003E2D0F">
      <w:pPr>
        <w:spacing w:before="60" w:after="60"/>
        <w:ind w:left="907" w:hanging="547"/>
        <w:rPr>
          <w:rFonts w:ascii="Times New Roman" w:hAnsi="Times New Roman" w:cs="Comic Sans MS"/>
          <w:sz w:val="20"/>
          <w:szCs w:val="20"/>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w:t>
      </w:r>
      <w:r w:rsidRPr="009A6BD2">
        <w:rPr>
          <w:rFonts w:ascii="Times New Roman" w:hAnsi="Times New Roman" w:cs="Comic Sans MS"/>
          <w:sz w:val="20"/>
          <w:szCs w:val="20"/>
        </w:rPr>
        <w:t xml:space="preserve"> </w:t>
      </w:r>
      <w:hyperlink w:anchor="livre_2_chap_7_4" w:history="1">
        <w:r w:rsidRPr="009A6BD2">
          <w:rPr>
            <w:rStyle w:val="Collegamentoipertestuale"/>
            <w:rFonts w:ascii="Times New Roman" w:hAnsi="Times New Roman" w:cs="Comic Sans MS"/>
            <w:sz w:val="20"/>
            <w:szCs w:val="20"/>
          </w:rPr>
          <w:t>La religion n'est pas un produit de la crainte</w:t>
        </w:r>
      </w:hyperlink>
      <w:r w:rsidRPr="009A6BD2">
        <w:rPr>
          <w:rFonts w:ascii="Times New Roman" w:hAnsi="Times New Roman" w:cs="Comic Sans MS"/>
          <w:sz w:val="20"/>
          <w:szCs w:val="20"/>
        </w:rPr>
        <w:t>. - Elle exprime quelque chose de réel. - Son idéalisme essentiel. - Cet idéalisme est un caractère général de la mentalité collective. -Explication de l'extériorité des f</w:t>
      </w:r>
      <w:r w:rsidRPr="009A6BD2">
        <w:rPr>
          <w:rFonts w:ascii="Times New Roman" w:hAnsi="Times New Roman" w:cs="Comic Sans MS"/>
          <w:sz w:val="20"/>
          <w:szCs w:val="20"/>
        </w:rPr>
        <w:t xml:space="preserve">orces religieuses par rapport à leurs substrats. - Du principe </w:t>
      </w:r>
      <w:r w:rsidRPr="009A6BD2">
        <w:rPr>
          <w:rFonts w:ascii="Times New Roman" w:hAnsi="Times New Roman" w:cs="Comic Sans MS"/>
          <w:i/>
          <w:iCs/>
          <w:sz w:val="20"/>
          <w:szCs w:val="20"/>
        </w:rPr>
        <w:t>la partie vaut le tout</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w:t>
      </w:r>
      <w:r w:rsidRPr="009A6BD2">
        <w:rPr>
          <w:rFonts w:ascii="Times New Roman" w:hAnsi="Times New Roman" w:cs="Comic Sans MS"/>
          <w:sz w:val="20"/>
          <w:szCs w:val="20"/>
        </w:rPr>
        <w:tab/>
        <w:t xml:space="preserve">- </w:t>
      </w:r>
      <w:hyperlink w:anchor="livre_2_chap_7_5" w:history="1">
        <w:r w:rsidRPr="009A6BD2">
          <w:rPr>
            <w:rStyle w:val="Collegamentoipertestuale"/>
            <w:rFonts w:ascii="Times New Roman" w:hAnsi="Times New Roman" w:cs="Comic Sans MS"/>
            <w:sz w:val="20"/>
            <w:szCs w:val="20"/>
          </w:rPr>
          <w:t>Origine de la notion d'emblème: l'embIématisme, condition nécessaire des représenta</w:t>
        </w:r>
        <w:r w:rsidRPr="009A6BD2">
          <w:rPr>
            <w:rStyle w:val="Collegamentoipertestuale"/>
            <w:rFonts w:ascii="Comic Sans MS" w:hAnsi="Comic Sans MS" w:cs="Comic Sans MS"/>
            <w:sz w:val="20"/>
            <w:szCs w:val="20"/>
          </w:rPr>
          <w:softHyphen/>
        </w:r>
        <w:r w:rsidRPr="009A6BD2">
          <w:rPr>
            <w:rStyle w:val="Collegamentoipertestuale"/>
            <w:rFonts w:ascii="Times New Roman" w:hAnsi="Times New Roman" w:cs="Comic Sans MS"/>
            <w:sz w:val="20"/>
            <w:szCs w:val="20"/>
          </w:rPr>
          <w:t>tions collectives</w:t>
        </w:r>
      </w:hyperlink>
      <w:r w:rsidRPr="009A6BD2">
        <w:rPr>
          <w:rFonts w:ascii="Times New Roman" w:hAnsi="Times New Roman" w:cs="Comic Sans MS"/>
          <w:sz w:val="20"/>
          <w:szCs w:val="20"/>
        </w:rPr>
        <w:t>. - Pourquoi le clan a emp</w:t>
      </w:r>
      <w:r w:rsidRPr="009A6BD2">
        <w:rPr>
          <w:rFonts w:ascii="Times New Roman" w:hAnsi="Times New Roman" w:cs="Comic Sans MS"/>
          <w:sz w:val="20"/>
          <w:szCs w:val="20"/>
        </w:rPr>
        <w:t>runté ses emblèmes au règne animal et au règne végétal</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VI.</w:t>
      </w:r>
      <w:r w:rsidRPr="009A6BD2">
        <w:rPr>
          <w:rFonts w:ascii="Times New Roman" w:hAnsi="Times New Roman" w:cs="Comic Sans MS"/>
          <w:sz w:val="20"/>
          <w:szCs w:val="20"/>
        </w:rPr>
        <w:tab/>
        <w:t xml:space="preserve">- </w:t>
      </w:r>
      <w:hyperlink w:anchor="livre_2_chap_7_6" w:history="1">
        <w:r w:rsidRPr="009A6BD2">
          <w:rPr>
            <w:rStyle w:val="Collegamentoipertestuale"/>
            <w:rFonts w:ascii="Times New Roman" w:hAnsi="Times New Roman" w:cs="Comic Sans MS"/>
            <w:sz w:val="20"/>
            <w:szCs w:val="20"/>
          </w:rPr>
          <w:t>De l'aptitude du primitif à confondre les règnes et les classes que nous distinguons</w:t>
        </w:r>
      </w:hyperlink>
      <w:r w:rsidRPr="009A6BD2">
        <w:rPr>
          <w:rFonts w:ascii="Times New Roman" w:hAnsi="Times New Roman" w:cs="Comic Sans MS"/>
          <w:sz w:val="20"/>
          <w:szCs w:val="20"/>
        </w:rPr>
        <w:t>. -Origines de ces confusions. - Comment elles ont frayé la voie aux expl</w:t>
      </w:r>
      <w:r w:rsidRPr="009A6BD2">
        <w:rPr>
          <w:rFonts w:ascii="Times New Roman" w:hAnsi="Times New Roman" w:cs="Comic Sans MS"/>
          <w:sz w:val="20"/>
          <w:szCs w:val="20"/>
        </w:rPr>
        <w:t>ications scientifiques. - Elles n'excluent pas la tendance à la distinction et à l'opposition</w:t>
      </w: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VIII :</w:t>
      </w:r>
      <w:r w:rsidRPr="009A6BD2">
        <w:rPr>
          <w:rFonts w:ascii="Times New Roman" w:hAnsi="Times New Roman"/>
        </w:rPr>
        <w:tab/>
      </w:r>
      <w:hyperlink w:anchor="livre_2_chap_8" w:history="1">
        <w:r w:rsidRPr="009A6BD2">
          <w:rPr>
            <w:rStyle w:val="Collegamentoipertestuale"/>
            <w:rFonts w:ascii="Times New Roman" w:hAnsi="Times New Roman"/>
          </w:rPr>
          <w:t>La notion d’âme</w:t>
        </w:r>
      </w:hyperlink>
    </w:p>
    <w:p w:rsidR="009A6BD2" w:rsidRPr="009A6BD2" w:rsidRDefault="003E2D0F">
      <w:pPr>
        <w:ind w:firstLine="0"/>
        <w:rPr>
          <w:rFonts w:ascii="Times New Roman" w:hAnsi="Times New Roman" w:cs="Time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8_1" w:history="1">
        <w:r w:rsidRPr="009A6BD2">
          <w:rPr>
            <w:rStyle w:val="Collegamentoipertestuale"/>
            <w:rFonts w:ascii="Times New Roman" w:hAnsi="Times New Roman" w:cs="Comic Sans MS"/>
            <w:sz w:val="20"/>
            <w:szCs w:val="20"/>
          </w:rPr>
          <w:t>Analyse de l'idée d'âme dans les sociétés australi</w:t>
        </w:r>
        <w:r w:rsidRPr="009A6BD2">
          <w:rPr>
            <w:rStyle w:val="Collegamentoipertestuale"/>
            <w:rFonts w:ascii="Times New Roman" w:hAnsi="Times New Roman" w:cs="Comic Sans MS"/>
            <w:sz w:val="20"/>
            <w:szCs w:val="20"/>
          </w:rPr>
          <w:t>ennes</w:t>
        </w:r>
      </w:hyperlink>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Il.</w:t>
      </w:r>
      <w:r w:rsidRPr="009A6BD2">
        <w:rPr>
          <w:rFonts w:ascii="Times New Roman" w:hAnsi="Times New Roman" w:cs="Comic Sans MS"/>
          <w:sz w:val="20"/>
          <w:szCs w:val="20"/>
        </w:rPr>
        <w:tab/>
        <w:t xml:space="preserve">- </w:t>
      </w:r>
      <w:hyperlink w:anchor="livre_2_chap_8_2" w:history="1">
        <w:r w:rsidRPr="009A6BD2">
          <w:rPr>
            <w:rStyle w:val="Collegamentoipertestuale"/>
            <w:rFonts w:ascii="Times New Roman" w:hAnsi="Times New Roman" w:cs="Comic Sans MS"/>
            <w:sz w:val="20"/>
            <w:szCs w:val="20"/>
          </w:rPr>
          <w:t>Genèse de cette notion. - La doctrine de la réincarnation d'après Spencer et Gillen: elle implique que l'âme est une parcelle du principe totémique</w:t>
        </w:r>
      </w:hyperlink>
      <w:r w:rsidRPr="009A6BD2">
        <w:rPr>
          <w:rFonts w:ascii="Times New Roman" w:hAnsi="Times New Roman" w:cs="Comic Sans MS"/>
          <w:sz w:val="20"/>
          <w:szCs w:val="20"/>
        </w:rPr>
        <w:t>. - Examen des faits rapportés par StrehIow; ils confirmen</w:t>
      </w:r>
      <w:r w:rsidRPr="009A6BD2">
        <w:rPr>
          <w:rFonts w:ascii="Times New Roman" w:hAnsi="Times New Roman" w:cs="Comic Sans MS"/>
          <w:sz w:val="20"/>
          <w:szCs w:val="20"/>
        </w:rPr>
        <w:t>t la nature totémique de l'âme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w:t>
      </w:r>
      <w:hyperlink w:anchor="livre_2_chap_8_3" w:history="1">
        <w:r w:rsidRPr="009A6BD2">
          <w:rPr>
            <w:rStyle w:val="Collegamentoipertestuale"/>
            <w:rFonts w:ascii="Times New Roman" w:hAnsi="Times New Roman" w:cs="Comic Sans MS"/>
            <w:sz w:val="20"/>
            <w:szCs w:val="20"/>
          </w:rPr>
          <w:t>Généralité de la doctrine de la réincarnation</w:t>
        </w:r>
      </w:hyperlink>
      <w:r w:rsidRPr="009A6BD2">
        <w:rPr>
          <w:rFonts w:ascii="Times New Roman" w:hAnsi="Times New Roman" w:cs="Comic Sans MS"/>
          <w:sz w:val="20"/>
          <w:szCs w:val="20"/>
        </w:rPr>
        <w:t xml:space="preserve">. - Faits divers à l'appui de la genèse proposée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xml:space="preserve">- </w:t>
      </w:r>
      <w:hyperlink w:anchor="livre_2_chap_8_4" w:history="1">
        <w:r w:rsidRPr="009A6BD2">
          <w:rPr>
            <w:rStyle w:val="Collegamentoipertestuale"/>
            <w:rFonts w:ascii="Times New Roman" w:hAnsi="Times New Roman" w:cs="Comic Sans MS"/>
            <w:sz w:val="20"/>
            <w:szCs w:val="20"/>
          </w:rPr>
          <w:t>L'antithèse de l'âme et du corps: ce qu'el</w:t>
        </w:r>
        <w:r w:rsidRPr="009A6BD2">
          <w:rPr>
            <w:rStyle w:val="Collegamentoipertestuale"/>
            <w:rFonts w:ascii="Times New Roman" w:hAnsi="Times New Roman" w:cs="Comic Sans MS"/>
            <w:sz w:val="20"/>
            <w:szCs w:val="20"/>
          </w:rPr>
          <w:t>le a d'objectif</w:t>
        </w:r>
      </w:hyperlink>
      <w:r w:rsidRPr="009A6BD2">
        <w:rPr>
          <w:rFonts w:ascii="Times New Roman" w:hAnsi="Times New Roman" w:cs="Comic Sans MS"/>
          <w:sz w:val="20"/>
          <w:szCs w:val="20"/>
        </w:rPr>
        <w:t>. - Rapports de l'âme individuelle et de l'âme collective. - L'idée d'âme n'est pas chronologiquement postérieure à l'idée de mana.</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w:t>
      </w:r>
      <w:r w:rsidRPr="009A6BD2">
        <w:rPr>
          <w:rFonts w:ascii="Times New Roman" w:hAnsi="Times New Roman" w:cs="Comic Sans MS"/>
          <w:sz w:val="20"/>
          <w:szCs w:val="20"/>
        </w:rPr>
        <w:tab/>
        <w:t xml:space="preserve">- </w:t>
      </w:r>
      <w:hyperlink w:anchor="livre_2_chap_8_5" w:history="1">
        <w:r w:rsidRPr="009A6BD2">
          <w:rPr>
            <w:rStyle w:val="Collegamentoipertestuale"/>
            <w:rFonts w:ascii="Times New Roman" w:hAnsi="Times New Roman" w:cs="Comic Sans MS"/>
            <w:sz w:val="20"/>
            <w:szCs w:val="20"/>
          </w:rPr>
          <w:t>Hypothèse pour expliquer la croyance à la survie</w:t>
        </w:r>
      </w:hyperlink>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VI.</w:t>
      </w:r>
      <w:r w:rsidRPr="009A6BD2">
        <w:rPr>
          <w:rFonts w:ascii="Times New Roman" w:hAnsi="Times New Roman" w:cs="Comic Sans MS"/>
          <w:sz w:val="20"/>
          <w:szCs w:val="20"/>
        </w:rPr>
        <w:tab/>
        <w:t xml:space="preserve">- </w:t>
      </w:r>
      <w:hyperlink w:anchor="livre_2_chap_8_6" w:history="1">
        <w:r w:rsidRPr="009A6BD2">
          <w:rPr>
            <w:rStyle w:val="Collegamentoipertestuale"/>
            <w:rFonts w:ascii="Times New Roman" w:hAnsi="Times New Roman" w:cs="Comic Sans MS"/>
            <w:sz w:val="20"/>
            <w:szCs w:val="20"/>
          </w:rPr>
          <w:t>L'idée d'âme et l'idée de personne</w:t>
        </w:r>
      </w:hyperlink>
      <w:r w:rsidRPr="009A6BD2">
        <w:rPr>
          <w:rFonts w:ascii="Times New Roman" w:hAnsi="Times New Roman" w:cs="Comic Sans MS"/>
          <w:sz w:val="20"/>
          <w:szCs w:val="20"/>
        </w:rPr>
        <w:t>; éléments impersonnels de la personnalité</w:t>
      </w:r>
    </w:p>
    <w:p w:rsidR="009A6BD2" w:rsidRPr="009A6BD2" w:rsidRDefault="003E2D0F">
      <w:pPr>
        <w:ind w:firstLine="0"/>
        <w:jc w:val="both"/>
        <w:rPr>
          <w:rFonts w:ascii="Times New Roman" w:hAnsi="Times New Roman" w:cs="Times"/>
        </w:rPr>
      </w:pP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IX :</w:t>
      </w:r>
      <w:r w:rsidRPr="009A6BD2">
        <w:rPr>
          <w:rFonts w:ascii="Times New Roman" w:hAnsi="Times New Roman"/>
        </w:rPr>
        <w:tab/>
      </w:r>
      <w:hyperlink w:anchor="livre_2_chap_9" w:history="1">
        <w:r w:rsidRPr="009A6BD2">
          <w:rPr>
            <w:rStyle w:val="Collegamentoipertestuale"/>
            <w:rFonts w:ascii="Times New Roman" w:hAnsi="Times New Roman"/>
          </w:rPr>
          <w:t>LA NOTION D'ESPRITS ET DE DIEUX</w:t>
        </w:r>
      </w:hyperlink>
    </w:p>
    <w:p w:rsidR="009A6BD2" w:rsidRPr="009A6BD2" w:rsidRDefault="003E2D0F">
      <w:pPr>
        <w:ind w:firstLine="0"/>
        <w:rPr>
          <w:rFonts w:ascii="Times New Roman" w:hAnsi="Times New Roman" w:cs="Time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w:t>
      </w:r>
      <w:hyperlink w:anchor="livre_2_chap_9_1" w:history="1">
        <w:r w:rsidRPr="009A6BD2">
          <w:rPr>
            <w:rStyle w:val="Collegamentoipertestuale"/>
            <w:rFonts w:ascii="Times New Roman" w:hAnsi="Times New Roman" w:cs="Comic Sans MS"/>
            <w:sz w:val="20"/>
            <w:szCs w:val="20"/>
          </w:rPr>
          <w:t>Différence entre l'âme e</w:t>
        </w:r>
        <w:r w:rsidRPr="009A6BD2">
          <w:rPr>
            <w:rStyle w:val="Collegamentoipertestuale"/>
            <w:rFonts w:ascii="Times New Roman" w:hAnsi="Times New Roman" w:cs="Comic Sans MS"/>
            <w:sz w:val="20"/>
            <w:szCs w:val="20"/>
          </w:rPr>
          <w:t>t l'esp</w:t>
        </w:r>
      </w:hyperlink>
      <w:r w:rsidRPr="009A6BD2">
        <w:rPr>
          <w:rFonts w:ascii="Times New Roman" w:hAnsi="Times New Roman" w:cs="Comic Sans MS"/>
          <w:sz w:val="20"/>
          <w:szCs w:val="20"/>
        </w:rPr>
        <w:t xml:space="preserve">rit. - Les âmes des ancêtres mythiques sont des esprits, ayant des fonctions déterminées. - Rapports entre l'esprit ancestral, l'âme individuelle et le totem individuel. - Explication de ce dernier. - Sa signification sociologique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w:t>
      </w:r>
      <w:hyperlink w:anchor="livre_2_chap_9_2" w:history="1">
        <w:r w:rsidRPr="009A6BD2">
          <w:rPr>
            <w:rStyle w:val="Collegamentoipertestuale"/>
            <w:rFonts w:ascii="Times New Roman" w:hAnsi="Times New Roman" w:cs="Comic Sans MS"/>
            <w:sz w:val="20"/>
            <w:szCs w:val="20"/>
          </w:rPr>
          <w:t>Les esprits de la magie</w:t>
        </w:r>
      </w:hyperlink>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L</w:t>
      </w:r>
      <w:hyperlink w:anchor="livre_2_chap_9_3" w:history="1">
        <w:r w:rsidRPr="009A6BD2">
          <w:rPr>
            <w:rStyle w:val="Collegamentoipertestuale"/>
            <w:rFonts w:ascii="Times New Roman" w:hAnsi="Times New Roman" w:cs="Comic Sans MS"/>
            <w:sz w:val="20"/>
            <w:szCs w:val="20"/>
          </w:rPr>
          <w:t>es héros civilisateurs</w:t>
        </w:r>
      </w:hyperlink>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 xml:space="preserve">IV. - </w:t>
      </w:r>
      <w:hyperlink w:anchor="livre_2_chap_9_4" w:history="1">
        <w:r w:rsidRPr="009A6BD2">
          <w:rPr>
            <w:rStyle w:val="Collegamentoipertestuale"/>
            <w:rFonts w:ascii="Times New Roman" w:hAnsi="Times New Roman" w:cs="Comic Sans MS"/>
            <w:sz w:val="20"/>
            <w:szCs w:val="20"/>
          </w:rPr>
          <w:t>Les grands dieux</w:t>
        </w:r>
      </w:hyperlink>
      <w:r w:rsidRPr="009A6BD2">
        <w:rPr>
          <w:rFonts w:ascii="Times New Roman" w:hAnsi="Times New Roman" w:cs="Comic Sans MS"/>
          <w:sz w:val="20"/>
          <w:szCs w:val="20"/>
        </w:rPr>
        <w:t>. - Leur origine. - Leur rapport avec l'ensemble du système totémique. -Leu</w:t>
      </w:r>
      <w:r w:rsidRPr="009A6BD2">
        <w:rPr>
          <w:rFonts w:ascii="Times New Roman" w:hAnsi="Times New Roman" w:cs="Comic Sans MS"/>
          <w:sz w:val="20"/>
          <w:szCs w:val="20"/>
        </w:rPr>
        <w:t xml:space="preserve">r caractère tribal et international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w:t>
      </w:r>
      <w:r w:rsidRPr="009A6BD2">
        <w:rPr>
          <w:rFonts w:ascii="Times New Roman" w:hAnsi="Times New Roman" w:cs="Comic Sans MS"/>
          <w:sz w:val="20"/>
          <w:szCs w:val="20"/>
        </w:rPr>
        <w:tab/>
        <w:t xml:space="preserve">- </w:t>
      </w:r>
      <w:hyperlink w:anchor="livre_2_chap_9_5" w:history="1">
        <w:r w:rsidRPr="009A6BD2">
          <w:rPr>
            <w:rStyle w:val="Collegamentoipertestuale"/>
            <w:rFonts w:ascii="Times New Roman" w:hAnsi="Times New Roman" w:cs="Comic Sans MS"/>
            <w:sz w:val="20"/>
            <w:szCs w:val="20"/>
          </w:rPr>
          <w:t>Unité du système totémique</w:t>
        </w:r>
      </w:hyperlink>
      <w:r w:rsidRPr="009A6BD2">
        <w:rPr>
          <w:rFonts w:ascii="Times New Roman" w:hAnsi="Times New Roman" w:cs="Comic Sans MS"/>
          <w:sz w:val="20"/>
          <w:szCs w:val="20"/>
        </w:rPr>
        <w:t xml:space="preserve"> </w:t>
      </w:r>
    </w:p>
    <w:p w:rsidR="009A6BD2" w:rsidRPr="009A6BD2" w:rsidRDefault="003E2D0F">
      <w:pPr>
        <w:ind w:firstLine="0"/>
        <w:rPr>
          <w:rFonts w:ascii="Times New Roman" w:hAnsi="Times New Roman" w:cs="Times"/>
        </w:rPr>
      </w:pPr>
    </w:p>
    <w:p w:rsidR="009A6BD2" w:rsidRPr="009A6BD2" w:rsidRDefault="003E2D0F">
      <w:pPr>
        <w:ind w:firstLine="0"/>
        <w:rPr>
          <w:rFonts w:ascii="Times New Roman" w:hAnsi="Times New Roman" w:cs="Times"/>
        </w:rPr>
      </w:pPr>
    </w:p>
    <w:p w:rsidR="009A6BD2" w:rsidRPr="009A6BD2" w:rsidRDefault="003E2D0F">
      <w:pPr>
        <w:ind w:firstLine="0"/>
        <w:rPr>
          <w:rFonts w:ascii="Times New Roman" w:hAnsi="Times New Roman" w:cs="Times"/>
          <w:sz w:val="28"/>
          <w:szCs w:val="28"/>
        </w:rPr>
      </w:pPr>
      <w:r w:rsidRPr="009A6BD2">
        <w:rPr>
          <w:rFonts w:ascii="Times New Roman" w:hAnsi="Times New Roman" w:cs="Times"/>
          <w:b/>
          <w:bCs/>
          <w:color w:val="FF0000"/>
          <w:sz w:val="28"/>
          <w:szCs w:val="28"/>
        </w:rPr>
        <w:t>LIVRE III </w:t>
      </w:r>
      <w:r w:rsidRPr="009A6BD2">
        <w:rPr>
          <w:rFonts w:ascii="Times New Roman" w:hAnsi="Times New Roman" w:cs="Times"/>
          <w:sz w:val="28"/>
          <w:szCs w:val="28"/>
        </w:rPr>
        <w:t>:</w:t>
      </w:r>
      <w:r w:rsidRPr="009A6BD2">
        <w:rPr>
          <w:rFonts w:ascii="Times New Roman" w:hAnsi="Times New Roman" w:cs="Times"/>
          <w:sz w:val="28"/>
          <w:szCs w:val="28"/>
        </w:rPr>
        <w:tab/>
      </w:r>
      <w:r w:rsidRPr="009A6BD2">
        <w:rPr>
          <w:rFonts w:ascii="Times New Roman" w:hAnsi="Times New Roman" w:cs="Times"/>
          <w:b/>
          <w:bCs/>
          <w:color w:val="FF0000"/>
          <w:sz w:val="28"/>
          <w:szCs w:val="28"/>
        </w:rPr>
        <w:t>LES PRINCIPALES ATTITUDES RITUELLES</w:t>
      </w:r>
    </w:p>
    <w:p w:rsidR="009A6BD2" w:rsidRPr="009A6BD2" w:rsidRDefault="003E2D0F">
      <w:pPr>
        <w:ind w:firstLine="0"/>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I :</w:t>
      </w:r>
      <w:r w:rsidRPr="009A6BD2">
        <w:rPr>
          <w:rFonts w:ascii="Times New Roman" w:hAnsi="Times New Roman"/>
        </w:rPr>
        <w:tab/>
        <w:t>Le culte négatif et ses fonctions. les rites ascétiques</w:t>
      </w:r>
    </w:p>
    <w:p w:rsidR="009A6BD2" w:rsidRPr="009A6BD2" w:rsidRDefault="003E2D0F">
      <w:pPr>
        <w:ind w:firstLine="0"/>
        <w:rPr>
          <w:rFonts w:ascii="Times New Roman" w:hAnsi="Times New Roman" w:cs="Time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Le système des interdi</w:t>
      </w:r>
      <w:r w:rsidRPr="009A6BD2">
        <w:rPr>
          <w:rFonts w:ascii="Times New Roman" w:hAnsi="Times New Roman" w:cs="Comic Sans MS"/>
          <w:sz w:val="20"/>
          <w:szCs w:val="20"/>
        </w:rPr>
        <w:t xml:space="preserve">ts. - Interdits magiques et religieux. Interdits entre choses sacrées d'espèces différentes. Interdits entre sacré et profane. - Ces derniers sont à la base du culte négatif. - Principaux types de ces interdits; leur réduction à deux types essentiels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r>
      <w:r w:rsidRPr="009A6BD2">
        <w:rPr>
          <w:rFonts w:ascii="Times New Roman" w:hAnsi="Times New Roman" w:cs="Comic Sans MS"/>
          <w:sz w:val="20"/>
          <w:szCs w:val="20"/>
        </w:rPr>
        <w:t xml:space="preserve">- L'observance des interdits modifie l'état religieux des individus. - Cas où cette efficacité est particulièrement apparente : les pratiques ascétiques. - Efficacité religieuse de la douleur. -Fonction sociale de l'ascétisme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Explication du système</w:t>
      </w:r>
      <w:r w:rsidRPr="009A6BD2">
        <w:rPr>
          <w:rFonts w:ascii="Times New Roman" w:hAnsi="Times New Roman" w:cs="Comic Sans MS"/>
          <w:sz w:val="20"/>
          <w:szCs w:val="20"/>
        </w:rPr>
        <w:t xml:space="preserve"> des interdits: antagonisme du sacré et du profane, contagiosité du sacré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Causes de cette contagiosité. - Elle ne peut s'expliquer par les lois de l'association des idées. - Elle résulte de l'extériorité des forces religieuses par rapport à leurs su</w:t>
      </w:r>
      <w:r w:rsidRPr="009A6BD2">
        <w:rPr>
          <w:rFonts w:ascii="Times New Roman" w:hAnsi="Times New Roman" w:cs="Comic Sans MS"/>
          <w:sz w:val="20"/>
          <w:szCs w:val="20"/>
        </w:rPr>
        <w:t xml:space="preserve">bstrats. Intérêt logique de cette propriété des forces religieuses </w:t>
      </w:r>
    </w:p>
    <w:p w:rsidR="009A6BD2" w:rsidRPr="009A6BD2" w:rsidRDefault="003E2D0F">
      <w:pPr>
        <w:ind w:firstLine="0"/>
        <w:jc w:val="both"/>
        <w:rPr>
          <w:rFonts w:ascii="Times New Roman" w:hAnsi="Times New Roman" w:cs="Times"/>
        </w:rPr>
      </w:pPr>
    </w:p>
    <w:p w:rsidR="009A6BD2" w:rsidRPr="009A6BD2" w:rsidRDefault="003E2D0F">
      <w:pPr>
        <w:ind w:firstLine="0"/>
        <w:rPr>
          <w:rFonts w:ascii="Times New Roman" w:hAnsi="Times New Roman" w:cs="Times"/>
          <w:i/>
          <w:iCs/>
        </w:rPr>
      </w:pPr>
    </w:p>
    <w:p w:rsidR="009A6BD2" w:rsidRPr="009A6BD2" w:rsidRDefault="003E2D0F">
      <w:pPr>
        <w:pStyle w:val="tdmchap"/>
        <w:rPr>
          <w:rFonts w:ascii="Times New Roman" w:hAnsi="Times New Roman"/>
        </w:rPr>
      </w:pPr>
      <w:r w:rsidRPr="009A6BD2">
        <w:rPr>
          <w:rFonts w:ascii="Times New Roman" w:hAnsi="Times New Roman"/>
        </w:rPr>
        <w:t>CHAPITRE II :</w:t>
      </w:r>
      <w:r w:rsidRPr="009A6BD2">
        <w:rPr>
          <w:rFonts w:ascii="Times New Roman" w:hAnsi="Times New Roman"/>
        </w:rPr>
        <w:tab/>
        <w:t>Le culte positif</w:t>
      </w:r>
    </w:p>
    <w:p w:rsidR="009A6BD2" w:rsidRPr="009A6BD2" w:rsidRDefault="003E2D0F">
      <w:pPr>
        <w:ind w:firstLine="0"/>
        <w:rPr>
          <w:rFonts w:ascii="Times New Roman" w:hAnsi="Times New Roman" w:cs="Time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1. - Les éléments du sacrifice</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ab/>
        <w:t xml:space="preserve">La cérémonie de l'Intichiuma dans les tribus de l'Australie centrale. - Formes diverses qu'elle présente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Forme Arun</w:t>
      </w:r>
      <w:r w:rsidRPr="009A6BD2">
        <w:rPr>
          <w:rFonts w:ascii="Times New Roman" w:hAnsi="Times New Roman" w:cs="Comic Sans MS"/>
          <w:sz w:val="20"/>
          <w:szCs w:val="20"/>
        </w:rPr>
        <w:t>ta. - Deux phases. - Analyse de la première visite aux lieux saints, disper</w:t>
      </w:r>
      <w:r w:rsidRPr="009A6BD2">
        <w:rPr>
          <w:rFonts w:ascii="Comic Sans MS" w:hAnsi="Comic Sans MS" w:cs="Comic Sans MS"/>
          <w:sz w:val="20"/>
          <w:szCs w:val="20"/>
        </w:rPr>
        <w:softHyphen/>
      </w:r>
      <w:r w:rsidRPr="009A6BD2">
        <w:rPr>
          <w:rFonts w:ascii="Times New Roman" w:hAnsi="Times New Roman" w:cs="Comic Sans MS"/>
          <w:sz w:val="20"/>
          <w:szCs w:val="20"/>
        </w:rPr>
        <w:t>sion de poussière sacrée, effusions de sang, etc., pour assurer la reproduction de l'espèce totémique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Deuxième phase: consommation rituelle de la plante ou de l'animal totémi</w:t>
      </w:r>
      <w:r w:rsidRPr="009A6BD2">
        <w:rPr>
          <w:rFonts w:ascii="Times New Roman" w:hAnsi="Times New Roman" w:cs="Comic Sans MS"/>
          <w:sz w:val="20"/>
          <w:szCs w:val="20"/>
        </w:rPr>
        <w:t xml:space="preserve">que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Interprétation de la cérémonie complète. - Le second rite consiste en une commu</w:t>
      </w:r>
      <w:r w:rsidRPr="009A6BD2">
        <w:rPr>
          <w:rFonts w:ascii="Comic Sans MS" w:hAnsi="Comic Sans MS" w:cs="Comic Sans MS"/>
          <w:sz w:val="20"/>
          <w:szCs w:val="20"/>
        </w:rPr>
        <w:softHyphen/>
      </w:r>
      <w:r w:rsidRPr="009A6BD2">
        <w:rPr>
          <w:rFonts w:ascii="Times New Roman" w:hAnsi="Times New Roman" w:cs="Comic Sans MS"/>
          <w:sz w:val="20"/>
          <w:szCs w:val="20"/>
        </w:rPr>
        <w:t xml:space="preserve">nion alimentaire. - Raison de cette communion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Les rites de la première phase consistent en oblations. - Analogies avec les oblations sacrificielles. - L'Inti</w:t>
      </w:r>
      <w:r w:rsidRPr="009A6BD2">
        <w:rPr>
          <w:rFonts w:ascii="Times New Roman" w:hAnsi="Times New Roman" w:cs="Comic Sans MS"/>
          <w:sz w:val="20"/>
          <w:szCs w:val="20"/>
        </w:rPr>
        <w:t xml:space="preserve">chiuma contient donc les deux éléments du sacrifice. - Intérêt de ces faits pour la théorie du sacrifice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V.</w:t>
      </w:r>
      <w:r w:rsidRPr="009A6BD2">
        <w:rPr>
          <w:rFonts w:ascii="Times New Roman" w:hAnsi="Times New Roman" w:cs="Comic Sans MS"/>
          <w:sz w:val="20"/>
          <w:szCs w:val="20"/>
        </w:rPr>
        <w:tab/>
        <w:t>- De la prétendue absurdité des oblations sacrificielles. - Comment elles s'expli</w:t>
      </w:r>
      <w:r w:rsidRPr="009A6BD2">
        <w:rPr>
          <w:rFonts w:ascii="Comic Sans MS" w:hAnsi="Comic Sans MS" w:cs="Comic Sans MS"/>
          <w:sz w:val="20"/>
          <w:szCs w:val="20"/>
        </w:rPr>
        <w:softHyphen/>
      </w:r>
      <w:r w:rsidRPr="009A6BD2">
        <w:rPr>
          <w:rFonts w:ascii="Times New Roman" w:hAnsi="Times New Roman" w:cs="Comic Sans MS"/>
          <w:sz w:val="20"/>
          <w:szCs w:val="20"/>
        </w:rPr>
        <w:t>quent: dépendance des êtres sacrés par rapport à leurs fidèles. -</w:t>
      </w:r>
      <w:r w:rsidRPr="009A6BD2">
        <w:rPr>
          <w:rFonts w:ascii="Times New Roman" w:hAnsi="Times New Roman" w:cs="Comic Sans MS"/>
          <w:sz w:val="20"/>
          <w:szCs w:val="20"/>
        </w:rPr>
        <w:t xml:space="preserve"> Explication du cercle dans lequel parait se mouvoir le sacrifice. - Origine de la périodicité des rites positifs</w:t>
      </w: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III :</w:t>
      </w:r>
      <w:r w:rsidRPr="009A6BD2">
        <w:rPr>
          <w:rFonts w:ascii="Times New Roman" w:hAnsi="Times New Roman"/>
        </w:rPr>
        <w:tab/>
        <w:t xml:space="preserve">Le culte positif </w:t>
      </w:r>
      <w:r w:rsidRPr="009A6BD2">
        <w:rPr>
          <w:rFonts w:ascii="Times New Roman" w:hAnsi="Times New Roman"/>
          <w:i/>
          <w:iCs/>
        </w:rPr>
        <w:t>(suite)</w:t>
      </w:r>
      <w:r w:rsidRPr="009A6BD2">
        <w:rPr>
          <w:rFonts w:ascii="Times New Roman" w:hAnsi="Times New Roman"/>
        </w:rPr>
        <w:t xml:space="preserve"> </w:t>
      </w:r>
    </w:p>
    <w:p w:rsidR="009A6BD2" w:rsidRPr="009A6BD2" w:rsidRDefault="003E2D0F">
      <w:pPr>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 - Les rites mimétiques et le principe de causalité</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Nature des rites mimétiques. - Exemples</w:t>
      </w:r>
      <w:r w:rsidRPr="009A6BD2">
        <w:rPr>
          <w:rFonts w:ascii="Times New Roman" w:hAnsi="Times New Roman" w:cs="Comic Sans MS"/>
          <w:sz w:val="20"/>
          <w:szCs w:val="20"/>
        </w:rPr>
        <w:t xml:space="preserve"> de cérémonies où ils sont employés pour assurer la fécondité de l'espèce</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xml:space="preserve">- Ils reposent sur le principe : le </w:t>
      </w:r>
      <w:r w:rsidRPr="009A6BD2">
        <w:rPr>
          <w:rFonts w:ascii="Times New Roman" w:hAnsi="Times New Roman" w:cs="Comic Sans MS"/>
          <w:i/>
          <w:iCs/>
          <w:sz w:val="20"/>
          <w:szCs w:val="20"/>
        </w:rPr>
        <w:t xml:space="preserve">semblable produit le semblable. </w:t>
      </w:r>
      <w:r w:rsidRPr="009A6BD2">
        <w:rPr>
          <w:rFonts w:ascii="Times New Roman" w:hAnsi="Times New Roman" w:cs="Comic Sans MS"/>
          <w:sz w:val="20"/>
          <w:szCs w:val="20"/>
        </w:rPr>
        <w:t>- Examen de l'explication qu'en donne l'école anthropologique. - Raisons qui font qu'on imite l'animal ou la p</w:t>
      </w:r>
      <w:r w:rsidRPr="009A6BD2">
        <w:rPr>
          <w:rFonts w:ascii="Times New Roman" w:hAnsi="Times New Roman" w:cs="Comic Sans MS"/>
          <w:sz w:val="20"/>
          <w:szCs w:val="20"/>
        </w:rPr>
        <w:t>lante. - Raisons qui font attribuer à ces gestes une efficacité physique. - La foi. - En quel sens elle est fondée sur l'expérience. - Les principes de la magie sont nés dans la religion</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lastRenderedPageBreak/>
        <w:t>III.</w:t>
      </w:r>
      <w:r w:rsidRPr="009A6BD2">
        <w:rPr>
          <w:rFonts w:ascii="Times New Roman" w:hAnsi="Times New Roman" w:cs="Comic Sans MS"/>
          <w:sz w:val="20"/>
          <w:szCs w:val="20"/>
        </w:rPr>
        <w:tab/>
        <w:t xml:space="preserve">- Le principe précédent considéré comme un des premiers énoncés </w:t>
      </w:r>
      <w:r w:rsidRPr="009A6BD2">
        <w:rPr>
          <w:rFonts w:ascii="Times New Roman" w:hAnsi="Times New Roman" w:cs="Comic Sans MS"/>
          <w:sz w:val="20"/>
          <w:szCs w:val="20"/>
        </w:rPr>
        <w:t>du principe de causalité. -Conditions sociales dont ce dernier dépend. - L'idée de force impersonnelle, de pouvoir, est d'origine sociale. - La nécessité du jugement causal expliquée par l'autorité inhérente aux impératifs sociaux</w:t>
      </w:r>
    </w:p>
    <w:p w:rsidR="009A6BD2" w:rsidRPr="009A6BD2" w:rsidRDefault="003E2D0F">
      <w:pPr>
        <w:ind w:firstLine="0"/>
        <w:jc w:val="both"/>
        <w:rPr>
          <w:rFonts w:ascii="Times New Roman" w:hAnsi="Times New Roman" w:cs="Times"/>
        </w:rPr>
      </w:pPr>
    </w:p>
    <w:p w:rsidR="009A6BD2" w:rsidRPr="009A6BD2" w:rsidRDefault="003E2D0F">
      <w:pPr>
        <w:pStyle w:val="tdmchap"/>
        <w:rPr>
          <w:rFonts w:ascii="Times New Roman" w:hAnsi="Times New Roman"/>
        </w:rPr>
      </w:pPr>
      <w:r w:rsidRPr="009A6BD2">
        <w:rPr>
          <w:rFonts w:ascii="Times New Roman" w:hAnsi="Times New Roman"/>
        </w:rPr>
        <w:t>CHAPITRE IV :</w:t>
      </w:r>
      <w:r w:rsidRPr="009A6BD2">
        <w:rPr>
          <w:rFonts w:ascii="Times New Roman" w:hAnsi="Times New Roman"/>
        </w:rPr>
        <w:tab/>
        <w:t>Le culte p</w:t>
      </w:r>
      <w:r w:rsidRPr="009A6BD2">
        <w:rPr>
          <w:rFonts w:ascii="Times New Roman" w:hAnsi="Times New Roman"/>
        </w:rPr>
        <w:t xml:space="preserve">ositif </w:t>
      </w:r>
      <w:r w:rsidRPr="009A6BD2">
        <w:rPr>
          <w:rFonts w:ascii="Times New Roman" w:hAnsi="Times New Roman"/>
          <w:i/>
          <w:iCs/>
        </w:rPr>
        <w:t>(suite)</w:t>
      </w:r>
      <w:r w:rsidRPr="009A6BD2">
        <w:rPr>
          <w:rFonts w:ascii="Times New Roman" w:hAnsi="Times New Roman"/>
        </w:rPr>
        <w:t xml:space="preserve"> </w:t>
      </w:r>
    </w:p>
    <w:p w:rsidR="009A6BD2" w:rsidRPr="009A6BD2" w:rsidRDefault="003E2D0F">
      <w:pPr>
        <w:ind w:firstLine="0"/>
        <w:rPr>
          <w:rFonts w:ascii="Times New Roman" w:hAnsi="Times New Roman" w:cs="Times"/>
          <w:i/>
          <w:iCs/>
        </w:rPr>
      </w:pPr>
    </w:p>
    <w:p w:rsidR="009A6BD2" w:rsidRPr="009A6BD2" w:rsidRDefault="003E2D0F">
      <w:pPr>
        <w:ind w:firstLine="0"/>
        <w:rPr>
          <w:rFonts w:ascii="Times New Roman" w:hAnsi="Times New Roman" w:cs="Comic Sans MS"/>
          <w:color w:val="000080"/>
          <w:sz w:val="20"/>
          <w:szCs w:val="20"/>
        </w:rPr>
      </w:pPr>
      <w:r w:rsidRPr="009A6BD2">
        <w:rPr>
          <w:rFonts w:ascii="Times New Roman" w:hAnsi="Times New Roman" w:cs="Comic Sans MS"/>
          <w:color w:val="000080"/>
          <w:sz w:val="20"/>
          <w:szCs w:val="20"/>
        </w:rPr>
        <w:t>III. - Les rites représentatifs ou commémoratifs</w:t>
      </w:r>
    </w:p>
    <w:p w:rsidR="009A6BD2" w:rsidRPr="009A6BD2" w:rsidRDefault="003E2D0F">
      <w:pPr>
        <w:ind w:firstLine="0"/>
        <w:rPr>
          <w:rFonts w:ascii="Times New Roman" w:hAnsi="Times New Roman" w:cs="Times"/>
          <w:i/>
          <w:iCs/>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Rites représentatifs avec efficacité physique. - Leurs rapports avec les cérémonies antérieurement décrites. - L'action qu'ils produisent est toute morale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Rites représentatifs s</w:t>
      </w:r>
      <w:r w:rsidRPr="009A6BD2">
        <w:rPr>
          <w:rFonts w:ascii="Times New Roman" w:hAnsi="Times New Roman" w:cs="Comic Sans MS"/>
          <w:sz w:val="20"/>
          <w:szCs w:val="20"/>
        </w:rPr>
        <w:t xml:space="preserve">ans efficacité physique. - Ils confirment les résultats précédents. - L'élément récréatif de la religion; son importance; ses raisons d'être. - La notion de fête.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Ambiguïté fonctionnelle des différentes cérémonies étudiées; elles se substituent les</w:t>
      </w:r>
      <w:r w:rsidRPr="009A6BD2">
        <w:rPr>
          <w:rFonts w:ascii="Times New Roman" w:hAnsi="Times New Roman" w:cs="Comic Sans MS"/>
          <w:sz w:val="20"/>
          <w:szCs w:val="20"/>
        </w:rPr>
        <w:t xml:space="preserve"> unes aux autres. - Comment cette ambiguïté confirme la théorie proposée. </w:t>
      </w:r>
    </w:p>
    <w:p w:rsidR="009A6BD2" w:rsidRPr="009A6BD2" w:rsidRDefault="003E2D0F">
      <w:pPr>
        <w:ind w:firstLine="0"/>
        <w:jc w:val="both"/>
        <w:rPr>
          <w:rFonts w:ascii="Times New Roman" w:hAnsi="Times New Roman" w:cs="Times"/>
          <w:sz w:val="20"/>
          <w:szCs w:val="20"/>
        </w:rPr>
      </w:pPr>
    </w:p>
    <w:p w:rsidR="009A6BD2" w:rsidRPr="009A6BD2" w:rsidRDefault="003E2D0F">
      <w:pPr>
        <w:pStyle w:val="tdmchap"/>
        <w:rPr>
          <w:rFonts w:ascii="Times New Roman" w:hAnsi="Times New Roman"/>
        </w:rPr>
      </w:pPr>
      <w:r w:rsidRPr="009A6BD2">
        <w:rPr>
          <w:rFonts w:ascii="Times New Roman" w:hAnsi="Times New Roman"/>
        </w:rPr>
        <w:t>CHAPITRE V :</w:t>
      </w:r>
      <w:r w:rsidRPr="009A6BD2">
        <w:rPr>
          <w:rFonts w:ascii="Times New Roman" w:hAnsi="Times New Roman"/>
        </w:rPr>
        <w:tab/>
        <w:t>Les rites piaculaires et l'ambiguïté de la notion du sacré</w:t>
      </w:r>
    </w:p>
    <w:p w:rsidR="009A6BD2" w:rsidRPr="009A6BD2" w:rsidRDefault="003E2D0F">
      <w:pPr>
        <w:ind w:firstLine="0"/>
        <w:rPr>
          <w:rFonts w:ascii="Times New Roman" w:hAnsi="Times New Roman" w:cs="Times"/>
        </w:rPr>
      </w:pPr>
    </w:p>
    <w:p w:rsidR="009A6BD2" w:rsidRPr="009A6BD2" w:rsidRDefault="003E2D0F">
      <w:pPr>
        <w:tabs>
          <w:tab w:val="left" w:pos="900"/>
        </w:tabs>
        <w:ind w:left="900" w:hanging="540"/>
        <w:jc w:val="both"/>
        <w:rPr>
          <w:rFonts w:ascii="Times New Roman" w:hAnsi="Times New Roman" w:cs="Comic Sans MS"/>
          <w:sz w:val="20"/>
          <w:szCs w:val="20"/>
        </w:rPr>
      </w:pPr>
      <w:r w:rsidRPr="009A6BD2">
        <w:rPr>
          <w:rFonts w:ascii="Times New Roman" w:hAnsi="Times New Roman" w:cs="Comic Sans MS"/>
          <w:sz w:val="20"/>
          <w:szCs w:val="20"/>
        </w:rPr>
        <w:t xml:space="preserve">Définition du rite piacuIaire . </w:t>
      </w:r>
    </w:p>
    <w:p w:rsidR="009A6BD2" w:rsidRPr="009A6BD2" w:rsidRDefault="003E2D0F">
      <w:pPr>
        <w:ind w:firstLine="0"/>
        <w:rPr>
          <w:rFonts w:ascii="Times New Roman" w:hAnsi="Times New Roman" w:cs="Comic Sans MS"/>
          <w:sz w:val="20"/>
          <w:szCs w:val="20"/>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xml:space="preserve">- Les rites positifs du deuil. - Description de ces rites.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Comm</w:t>
      </w:r>
      <w:r w:rsidRPr="009A6BD2">
        <w:rPr>
          <w:rFonts w:ascii="Times New Roman" w:hAnsi="Times New Roman" w:cs="Comic Sans MS"/>
          <w:sz w:val="20"/>
          <w:szCs w:val="20"/>
        </w:rPr>
        <w:t>ent ils s'expliquent. - Ils ne sont pas une manifestation de sentiments privés. - La méchanceté prêtée à l'âme du mort ne peut pas davantage en rendre compte. - Ils tiennent à l'état d'esprit dans lequel se trouve le groupe. - Analyse de cet état. - Commen</w:t>
      </w:r>
      <w:r w:rsidRPr="009A6BD2">
        <w:rPr>
          <w:rFonts w:ascii="Times New Roman" w:hAnsi="Times New Roman" w:cs="Comic Sans MS"/>
          <w:sz w:val="20"/>
          <w:szCs w:val="20"/>
        </w:rPr>
        <w:t xml:space="preserve">t il prend fin par le deuil. - Changements parallèles dans la manière dont l'âme du mort est conçue.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xml:space="preserve">- Autres rites piaculaires : à la suite d'un deuil public, d'une récolte insuffisante, d'une sécheresse, d'une aurore astrale. - Rareté de ces rites </w:t>
      </w:r>
      <w:r w:rsidRPr="009A6BD2">
        <w:rPr>
          <w:rFonts w:ascii="Times New Roman" w:hAnsi="Times New Roman" w:cs="Comic Sans MS"/>
          <w:sz w:val="20"/>
          <w:szCs w:val="20"/>
        </w:rPr>
        <w:t xml:space="preserve">en Australie. - Comment ils s'expliquent.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xml:space="preserve">- Les deux formes du sacré: le pur et l'impur. - Leur antagonisme. - Leur parenté. - Ambiguïté de la notion du sacré. - Explication de cette ambiguïté. - Tous les rites présentent le même caractère . </w:t>
      </w:r>
    </w:p>
    <w:p w:rsidR="009A6BD2" w:rsidRPr="009A6BD2" w:rsidRDefault="003E2D0F">
      <w:pPr>
        <w:ind w:firstLine="0"/>
        <w:jc w:val="both"/>
        <w:rPr>
          <w:rFonts w:ascii="Times New Roman" w:hAnsi="Times New Roman" w:cs="Times"/>
        </w:rPr>
      </w:pPr>
    </w:p>
    <w:p w:rsidR="009A6BD2" w:rsidRPr="009A6BD2" w:rsidRDefault="003E2D0F">
      <w:pPr>
        <w:ind w:firstLine="0"/>
        <w:rPr>
          <w:rFonts w:ascii="Times New Roman" w:hAnsi="Times New Roman" w:cs="Times"/>
          <w:b/>
          <w:bCs/>
          <w:color w:val="FF0000"/>
        </w:rPr>
      </w:pPr>
      <w:r w:rsidRPr="009A6BD2">
        <w:rPr>
          <w:rFonts w:ascii="Times New Roman" w:hAnsi="Times New Roman" w:cs="Times"/>
          <w:b/>
          <w:bCs/>
          <w:color w:val="FF0000"/>
        </w:rPr>
        <w:t>CONCLUS</w:t>
      </w:r>
      <w:r w:rsidRPr="009A6BD2">
        <w:rPr>
          <w:rFonts w:ascii="Times New Roman" w:hAnsi="Times New Roman" w:cs="Times"/>
          <w:b/>
          <w:bCs/>
          <w:color w:val="FF0000"/>
        </w:rPr>
        <w:t>ION</w:t>
      </w:r>
    </w:p>
    <w:p w:rsidR="009A6BD2" w:rsidRPr="009A6BD2" w:rsidRDefault="003E2D0F">
      <w:pPr>
        <w:ind w:firstLine="0"/>
        <w:rPr>
          <w:rFonts w:ascii="Times New Roman" w:hAnsi="Times New Roman" w:cs="Times"/>
        </w:rPr>
      </w:pPr>
    </w:p>
    <w:p w:rsidR="009A6BD2" w:rsidRPr="009A6BD2" w:rsidRDefault="003E2D0F">
      <w:pPr>
        <w:tabs>
          <w:tab w:val="left" w:pos="900"/>
        </w:tabs>
        <w:ind w:left="900" w:hanging="540"/>
        <w:jc w:val="both"/>
        <w:rPr>
          <w:rFonts w:ascii="Times New Roman" w:hAnsi="Times New Roman" w:cs="Comic Sans MS"/>
          <w:sz w:val="20"/>
          <w:szCs w:val="20"/>
        </w:rPr>
      </w:pPr>
      <w:r w:rsidRPr="009A6BD2">
        <w:rPr>
          <w:rFonts w:ascii="Times New Roman" w:hAnsi="Times New Roman" w:cs="Comic Sans MS"/>
          <w:sz w:val="20"/>
          <w:szCs w:val="20"/>
        </w:rPr>
        <w:t xml:space="preserve">Dans quelle mesure les résultats obtenus peuvent être généralisés. . </w:t>
      </w:r>
    </w:p>
    <w:p w:rsidR="009A6BD2" w:rsidRPr="009A6BD2" w:rsidRDefault="003E2D0F">
      <w:pPr>
        <w:ind w:firstLine="0"/>
        <w:rPr>
          <w:rFonts w:ascii="Times New Roman" w:hAnsi="Times New Roman" w:cs="Comic Sans MS"/>
          <w:sz w:val="20"/>
          <w:szCs w:val="20"/>
        </w:rPr>
      </w:pP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w:t>
      </w:r>
      <w:r w:rsidRPr="009A6BD2">
        <w:rPr>
          <w:rFonts w:ascii="Times New Roman" w:hAnsi="Times New Roman" w:cs="Comic Sans MS"/>
          <w:sz w:val="20"/>
          <w:szCs w:val="20"/>
        </w:rPr>
        <w:tab/>
        <w:t>- La religion s'appuie sur une expérience bien fondée, mais non privilégiée. - Nécessité d'une science pour atteindre la réalité qui fonde cette expérience. - Quelle est cette r</w:t>
      </w:r>
      <w:r w:rsidRPr="009A6BD2">
        <w:rPr>
          <w:rFonts w:ascii="Times New Roman" w:hAnsi="Times New Roman" w:cs="Comic Sans MS"/>
          <w:sz w:val="20"/>
          <w:szCs w:val="20"/>
        </w:rPr>
        <w:t>éalité : les groupements humains. - Sens humain de la religion. - De l'objec</w:t>
      </w:r>
      <w:r w:rsidRPr="009A6BD2">
        <w:rPr>
          <w:rFonts w:ascii="Comic Sans MS" w:hAnsi="Comic Sans MS" w:cs="Comic Sans MS"/>
          <w:sz w:val="20"/>
          <w:szCs w:val="20"/>
        </w:rPr>
        <w:softHyphen/>
      </w:r>
      <w:r w:rsidRPr="009A6BD2">
        <w:rPr>
          <w:rFonts w:ascii="Times New Roman" w:hAnsi="Times New Roman" w:cs="Comic Sans MS"/>
          <w:sz w:val="20"/>
          <w:szCs w:val="20"/>
        </w:rPr>
        <w:t xml:space="preserve">tion qui oppose la société idéale et la société réelle. Comment s'expliquent, dans cette théorie, l'individualisme et le cosmopolitisme religieux .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w:t>
      </w:r>
      <w:r w:rsidRPr="009A6BD2">
        <w:rPr>
          <w:rFonts w:ascii="Times New Roman" w:hAnsi="Times New Roman" w:cs="Comic Sans MS"/>
          <w:sz w:val="20"/>
          <w:szCs w:val="20"/>
        </w:rPr>
        <w:tab/>
        <w:t>- Ce qu'il y a d'éternel d</w:t>
      </w:r>
      <w:r w:rsidRPr="009A6BD2">
        <w:rPr>
          <w:rFonts w:ascii="Times New Roman" w:hAnsi="Times New Roman" w:cs="Comic Sans MS"/>
          <w:sz w:val="20"/>
          <w:szCs w:val="20"/>
        </w:rPr>
        <w:t xml:space="preserve">ans la religion. - Du conflit entre la religion et la science; il porte uniquement sur la fonction spéculative de la religion. - Ce que cette fonction paraît appelée à devenir . </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III.</w:t>
      </w:r>
      <w:r w:rsidRPr="009A6BD2">
        <w:rPr>
          <w:rFonts w:ascii="Times New Roman" w:hAnsi="Times New Roman" w:cs="Comic Sans MS"/>
          <w:sz w:val="20"/>
          <w:szCs w:val="20"/>
        </w:rPr>
        <w:tab/>
        <w:t>- Comment la société peut-elle être une source de pensée logique, c'est-</w:t>
      </w:r>
      <w:r w:rsidRPr="009A6BD2">
        <w:rPr>
          <w:rFonts w:ascii="Times New Roman" w:hAnsi="Times New Roman" w:cs="Comic Sans MS"/>
          <w:sz w:val="20"/>
          <w:szCs w:val="20"/>
        </w:rPr>
        <w:t>à-dire con</w:t>
      </w:r>
      <w:r w:rsidRPr="009A6BD2">
        <w:rPr>
          <w:rFonts w:ascii="Comic Sans MS" w:hAnsi="Comic Sans MS" w:cs="Comic Sans MS"/>
          <w:sz w:val="20"/>
          <w:szCs w:val="20"/>
        </w:rPr>
        <w:softHyphen/>
      </w:r>
      <w:r w:rsidRPr="009A6BD2">
        <w:rPr>
          <w:rFonts w:ascii="Times New Roman" w:hAnsi="Times New Roman" w:cs="Comic Sans MS"/>
          <w:sz w:val="20"/>
          <w:szCs w:val="20"/>
        </w:rPr>
        <w:t>ceptuelle ? Définition du concept : ne se confond pas avec l'idée générale ; se carac</w:t>
      </w:r>
      <w:r w:rsidRPr="009A6BD2">
        <w:rPr>
          <w:rFonts w:ascii="Comic Sans MS" w:hAnsi="Comic Sans MS" w:cs="Comic Sans MS"/>
          <w:sz w:val="20"/>
          <w:szCs w:val="20"/>
        </w:rPr>
        <w:softHyphen/>
      </w:r>
      <w:r w:rsidRPr="009A6BD2">
        <w:rPr>
          <w:rFonts w:ascii="Times New Roman" w:hAnsi="Times New Roman" w:cs="Comic Sans MS"/>
          <w:sz w:val="20"/>
          <w:szCs w:val="20"/>
        </w:rPr>
        <w:t xml:space="preserve">térise par son impersonnalité, sa communicabilité. - Il a une origine collective. - L'analyse de son contenu témoigne dans le même sens. - Les représentations </w:t>
      </w:r>
      <w:r w:rsidRPr="009A6BD2">
        <w:rPr>
          <w:rFonts w:ascii="Times New Roman" w:hAnsi="Times New Roman" w:cs="Comic Sans MS"/>
          <w:sz w:val="20"/>
          <w:szCs w:val="20"/>
        </w:rPr>
        <w:t>col</w:t>
      </w:r>
      <w:r w:rsidRPr="009A6BD2">
        <w:rPr>
          <w:rFonts w:ascii="Comic Sans MS" w:hAnsi="Comic Sans MS" w:cs="Comic Sans MS"/>
          <w:sz w:val="20"/>
          <w:szCs w:val="20"/>
        </w:rPr>
        <w:softHyphen/>
      </w:r>
      <w:r w:rsidRPr="009A6BD2">
        <w:rPr>
          <w:rFonts w:ascii="Times New Roman" w:hAnsi="Times New Roman" w:cs="Comic Sans MS"/>
          <w:sz w:val="20"/>
          <w:szCs w:val="20"/>
        </w:rPr>
        <w:t>lec</w:t>
      </w:r>
      <w:r w:rsidRPr="009A6BD2">
        <w:rPr>
          <w:rFonts w:ascii="Comic Sans MS" w:hAnsi="Comic Sans MS" w:cs="Comic Sans MS"/>
          <w:sz w:val="20"/>
          <w:szCs w:val="20"/>
        </w:rPr>
        <w:softHyphen/>
      </w:r>
      <w:r w:rsidRPr="009A6BD2">
        <w:rPr>
          <w:rFonts w:ascii="Comic Sans MS" w:hAnsi="Comic Sans MS" w:cs="Comic Sans MS"/>
          <w:sz w:val="20"/>
          <w:szCs w:val="20"/>
        </w:rPr>
        <w:softHyphen/>
      </w:r>
      <w:r w:rsidRPr="009A6BD2">
        <w:rPr>
          <w:rFonts w:ascii="Times New Roman" w:hAnsi="Times New Roman" w:cs="Comic Sans MS"/>
          <w:sz w:val="20"/>
          <w:szCs w:val="20"/>
        </w:rPr>
        <w:t xml:space="preserve">tives comme notions-types auxquelles les individus participent. - De l'objection d'après laquelle elles ne seraient impersonnelles qu'à condition d'être vraies, - La pensée conceptuelle est contemporaine de l'humanité. </w:t>
      </w:r>
    </w:p>
    <w:p w:rsidR="009A6BD2" w:rsidRPr="009A6BD2" w:rsidRDefault="003E2D0F">
      <w:pPr>
        <w:pStyle w:val="Corpodeltesto2"/>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t>IV.</w:t>
      </w:r>
      <w:r w:rsidRPr="009A6BD2">
        <w:rPr>
          <w:rFonts w:ascii="Times New Roman" w:hAnsi="Times New Roman" w:cs="Comic Sans MS"/>
          <w:sz w:val="20"/>
          <w:szCs w:val="20"/>
        </w:rPr>
        <w:tab/>
        <w:t>- Comment les catégorie</w:t>
      </w:r>
      <w:r w:rsidRPr="009A6BD2">
        <w:rPr>
          <w:rFonts w:ascii="Times New Roman" w:hAnsi="Times New Roman" w:cs="Comic Sans MS"/>
          <w:sz w:val="20"/>
          <w:szCs w:val="20"/>
        </w:rPr>
        <w:t>s expriment des choses sociales. - La catégorie par excellence est le concept de totalité qui ne peut être suggéré que par la société. - Pourquoi les relations qu'expriment les catégories ne pouvaient devenir conscientes que dans la société. - La société n</w:t>
      </w:r>
      <w:r w:rsidRPr="009A6BD2">
        <w:rPr>
          <w:rFonts w:ascii="Times New Roman" w:hAnsi="Times New Roman" w:cs="Comic Sans MS"/>
          <w:sz w:val="20"/>
          <w:szCs w:val="20"/>
        </w:rPr>
        <w:t>'est pas un être alogique. - Comment les catégories tendent à se détacher des groupements géographiques déterminés</w:t>
      </w:r>
    </w:p>
    <w:p w:rsidR="009A6BD2" w:rsidRPr="009A6BD2" w:rsidRDefault="003E2D0F">
      <w:pPr>
        <w:tabs>
          <w:tab w:val="left" w:pos="900"/>
        </w:tabs>
        <w:spacing w:before="60" w:after="60"/>
        <w:ind w:left="907" w:hanging="547"/>
        <w:rPr>
          <w:rFonts w:ascii="Times New Roman" w:hAnsi="Times New Roman" w:cs="Comic Sans MS"/>
          <w:sz w:val="20"/>
          <w:szCs w:val="20"/>
        </w:rPr>
      </w:pPr>
      <w:r w:rsidRPr="009A6BD2">
        <w:rPr>
          <w:rFonts w:ascii="Times New Roman" w:hAnsi="Times New Roman" w:cs="Comic Sans MS"/>
          <w:sz w:val="20"/>
          <w:szCs w:val="20"/>
        </w:rPr>
        <w:lastRenderedPageBreak/>
        <w:tab/>
        <w:t>Unité de la science, d'une part, de la morale et de la religion de l'autre. - Comment la société rend compte de cette unité. - Explication d</w:t>
      </w:r>
      <w:r w:rsidRPr="009A6BD2">
        <w:rPr>
          <w:rFonts w:ascii="Times New Roman" w:hAnsi="Times New Roman" w:cs="Comic Sans MS"/>
          <w:sz w:val="20"/>
          <w:szCs w:val="20"/>
        </w:rPr>
        <w:t xml:space="preserve">u rôle attribué à la société : sa puissance créatrice. - Répercussions de la sociologie sur la science de l'homme. </w:t>
      </w:r>
    </w:p>
    <w:p w:rsidR="009A6BD2" w:rsidRPr="009A6BD2" w:rsidRDefault="003E2D0F">
      <w:pPr>
        <w:ind w:firstLine="0"/>
        <w:rPr>
          <w:rFonts w:ascii="Times New Roman" w:hAnsi="Times New Roman" w:cs="Times"/>
        </w:rPr>
      </w:pPr>
    </w:p>
    <w:p w:rsidR="009A6BD2" w:rsidRPr="009A6BD2" w:rsidRDefault="003E2D0F">
      <w:pPr>
        <w:rPr>
          <w:rFonts w:ascii="Times New Roman" w:hAnsi="Times New Roman"/>
        </w:rPr>
      </w:pPr>
      <w:r w:rsidRPr="009A6BD2">
        <w:rPr>
          <w:rFonts w:ascii="Times New Roman" w:hAnsi="Times New Roman"/>
        </w:rPr>
        <w:br w:type="page"/>
      </w: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pStyle w:val="livre"/>
        <w:rPr>
          <w:rFonts w:ascii="Times New Roman" w:hAnsi="Times New Roman"/>
        </w:rPr>
      </w:pPr>
      <w:bookmarkStart w:id="4" w:name="livre_2"/>
      <w:r w:rsidRPr="009A6BD2">
        <w:rPr>
          <w:rFonts w:ascii="Times New Roman" w:hAnsi="Times New Roman"/>
        </w:rPr>
        <w:t>LIVRE II</w:t>
      </w:r>
    </w:p>
    <w:p w:rsidR="009A6BD2" w:rsidRPr="009A6BD2" w:rsidRDefault="003E2D0F">
      <w:pPr>
        <w:rPr>
          <w:rFonts w:ascii="Times New Roman" w:hAnsi="Times New Roman" w:cs="Times"/>
        </w:rPr>
      </w:pPr>
    </w:p>
    <w:p w:rsidR="009A6BD2" w:rsidRPr="009A6BD2" w:rsidRDefault="003E2D0F">
      <w:pPr>
        <w:pStyle w:val="livrest"/>
        <w:rPr>
          <w:rFonts w:ascii="Times New Roman" w:hAnsi="Times New Roman"/>
        </w:rPr>
      </w:pPr>
      <w:r w:rsidRPr="009A6BD2">
        <w:rPr>
          <w:rFonts w:ascii="Times New Roman" w:hAnsi="Times New Roman"/>
        </w:rPr>
        <w:t>LES CROYANCES ÉLÉMENTAIRES</w:t>
      </w:r>
    </w:p>
    <w:bookmarkEnd w:id="4"/>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rPr>
      </w:pPr>
      <w:r w:rsidRPr="009A6BD2">
        <w:rPr>
          <w:rFonts w:ascii="Times" w:hAnsi="Times" w:cs="Times"/>
          <w:sz w:val="20"/>
          <w:szCs w:val="20"/>
          <w:effect w:val="none"/>
        </w:rPr>
        <w:fldChar w:fldCharType="end"/>
      </w:r>
    </w:p>
    <w:p w:rsidR="009A6BD2" w:rsidRPr="009A6BD2" w:rsidRDefault="003E2D0F">
      <w:pPr>
        <w:rPr>
          <w:rFonts w:ascii="Times New Roman" w:hAnsi="Times New Roman"/>
        </w:rPr>
      </w:pPr>
      <w:r w:rsidRPr="009A6BD2">
        <w:rPr>
          <w:rFonts w:ascii="Times New Roman" w:hAnsi="Times New Roman"/>
        </w:rPr>
        <w:br w:type="page"/>
      </w: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5" w:name="livre_2_chap_1"/>
      <w:r w:rsidRPr="009A6BD2">
        <w:rPr>
          <w:rFonts w:ascii="Times New Roman" w:hAnsi="Times New Roman"/>
        </w:rPr>
        <w:t>CHAPITRE PREMIER</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LES CROYANCES PROPREMENT T</w:t>
      </w:r>
      <w:r w:rsidRPr="009A6BD2">
        <w:rPr>
          <w:rFonts w:ascii="Times New Roman" w:hAnsi="Times New Roman"/>
        </w:rPr>
        <w:t>OTÉMIQUES</w:t>
      </w:r>
    </w:p>
    <w:bookmarkEnd w:id="5"/>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Niveau10"/>
        <w:rPr>
          <w:rFonts w:ascii="Times New Roman" w:hAnsi="Times New Roman"/>
        </w:rPr>
      </w:pPr>
      <w:bookmarkStart w:id="6" w:name="livre_2_chap_1_le_totem"/>
      <w:r w:rsidRPr="009A6BD2">
        <w:rPr>
          <w:rFonts w:ascii="Times New Roman" w:hAnsi="Times New Roman"/>
        </w:rPr>
        <w:t>I. - Le Totem comme nom et comme emblème</w:t>
      </w:r>
    </w:p>
    <w:bookmarkEnd w:id="6"/>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Notre étude comprendra naturellement deux parties. Puisque toute religion est composée de représentations et de pratiques rituelles, nous devrons traiter succe</w:t>
      </w:r>
      <w:r w:rsidRPr="009A6BD2">
        <w:rPr>
          <w:rFonts w:ascii="Times New Roman" w:hAnsi="Times New Roman" w:cs="Times"/>
        </w:rPr>
        <w:t>ssivement des croyan</w:t>
      </w:r>
      <w:r w:rsidRPr="009A6BD2">
        <w:rPr>
          <w:rFonts w:ascii="Times" w:hAnsi="Times" w:cs="Times"/>
        </w:rPr>
        <w:softHyphen/>
      </w:r>
      <w:r w:rsidRPr="009A6BD2">
        <w:rPr>
          <w:rFonts w:ascii="Times New Roman" w:hAnsi="Times New Roman" w:cs="Times"/>
        </w:rPr>
        <w:t>ces et des rites qui sont propres à la religion totémique. Sans doute, ces deux éléments de la vie religieuse sont trop étroitement solidaires pour qu'il soit possible de les séparer radicale</w:t>
      </w:r>
      <w:r w:rsidRPr="009A6BD2">
        <w:rPr>
          <w:rFonts w:ascii="Times" w:hAnsi="Times" w:cs="Times"/>
        </w:rPr>
        <w:softHyphen/>
      </w:r>
      <w:r w:rsidRPr="009A6BD2">
        <w:rPr>
          <w:rFonts w:ascii="Times New Roman" w:hAnsi="Times New Roman" w:cs="Times"/>
        </w:rPr>
        <w:t>ment. Bien que, en principe, le culte dériv</w:t>
      </w:r>
      <w:r w:rsidRPr="009A6BD2">
        <w:rPr>
          <w:rFonts w:ascii="Times New Roman" w:hAnsi="Times New Roman" w:cs="Times"/>
        </w:rPr>
        <w:t>e des croyances, il réagit sur elles ; le mythe se modèle souvent sur le rite afin d'en rendre compte, surtout quand le sens n'en est pas ou n'en est plus apparent. Inversement, il y a des croyances qui ne se manifestent clairement qu'à travers les rites q</w:t>
      </w:r>
      <w:r w:rsidRPr="009A6BD2">
        <w:rPr>
          <w:rFonts w:ascii="Times New Roman" w:hAnsi="Times New Roman" w:cs="Times"/>
        </w:rPr>
        <w:t>ui les expriment. Les deux parties de l'analyse ne peuvent donc pas ne pas se pénétrer. Cependant, ces deux ordres de faits sont trop différents pour qu'il ne soit pas indispensable de les étudier séparément. Et comme il est impossible de rien entendre à u</w:t>
      </w:r>
      <w:r w:rsidRPr="009A6BD2">
        <w:rPr>
          <w:rFonts w:ascii="Times New Roman" w:hAnsi="Times New Roman" w:cs="Times"/>
        </w:rPr>
        <w:t>ne religion quand on ignore les idées sur lesquelles elle repose, c'est tout d'abord ces dernières qu'il nous faut chercher à connaître.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Toutefois, notre intention n'est pas de retracer ici toutes les spéculations dans lesquelles s'est jouée la pensée rel</w:t>
      </w:r>
      <w:r w:rsidRPr="009A6BD2">
        <w:rPr>
          <w:rFonts w:ascii="Times New Roman" w:hAnsi="Times New Roman" w:cs="Times"/>
        </w:rPr>
        <w:t>igieuse même des seuls Australiens. Ce que nous voulons atteindre, ce sont les notions élémentaires qui sont à la base de la religion ; mais il ne saurait être question de les suivre à travers tous les développements, parfois si touffus, que leur a donnés,</w:t>
      </w:r>
      <w:r w:rsidRPr="009A6BD2">
        <w:rPr>
          <w:rFonts w:ascii="Times New Roman" w:hAnsi="Times New Roman" w:cs="Times"/>
        </w:rPr>
        <w:t xml:space="preserve"> dès ces sociétés, l'imagination mythologique. Certes, nous nous servirons des mythes quand ils pourront nous aider à mieux comprendre ces notions fondamentales, mais sans faire de la mythologie elle-même l'objet de notre étude. D'ailleurs, en tant qu'elle</w:t>
      </w:r>
      <w:r w:rsidRPr="009A6BD2">
        <w:rPr>
          <w:rFonts w:ascii="Times New Roman" w:hAnsi="Times New Roman" w:cs="Times"/>
        </w:rPr>
        <w:t xml:space="preserve"> est une œuvre d'art, elle ne ressortit pas à la seule science des religions. De plus, les processus mentaux dont elle </w:t>
      </w:r>
      <w:r w:rsidRPr="009A6BD2">
        <w:rPr>
          <w:rFonts w:ascii="Times New Roman" w:hAnsi="Times New Roman" w:cs="Times"/>
        </w:rPr>
        <w:lastRenderedPageBreak/>
        <w:t>résulte sont d'une trop grande complexité pour qu'ils puissent être étudiés indirectement et de biais. C'est un difficile problème qui de</w:t>
      </w:r>
      <w:r w:rsidRPr="009A6BD2">
        <w:rPr>
          <w:rFonts w:ascii="Times New Roman" w:hAnsi="Times New Roman" w:cs="Times"/>
        </w:rPr>
        <w:t>mande à être traité en lui-même, pour lui-même et d'après une méthode qui lui soit spéciale.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parmi les croyances sur lesquelles repose la religion totémique, les plus impor</w:t>
      </w:r>
      <w:r w:rsidRPr="009A6BD2">
        <w:rPr>
          <w:rFonts w:ascii="Times" w:hAnsi="Times" w:cs="Times"/>
        </w:rPr>
        <w:softHyphen/>
      </w:r>
      <w:r w:rsidRPr="009A6BD2">
        <w:rPr>
          <w:rFonts w:ascii="Times New Roman" w:hAnsi="Times New Roman" w:cs="Times"/>
        </w:rPr>
        <w:t>tantes sont naturellement celles qui concernent le totem ; c'est donc par el</w:t>
      </w:r>
      <w:r w:rsidRPr="009A6BD2">
        <w:rPr>
          <w:rFonts w:ascii="Times New Roman" w:hAnsi="Times New Roman" w:cs="Times"/>
        </w:rPr>
        <w:t>les qu'il nous faut commencer.</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7" w:name="livre_2_chap_1_1"/>
      <w:r w:rsidRPr="009A6BD2">
        <w:rPr>
          <w:rFonts w:ascii="Times New Roman" w:hAnsi="Times New Roman"/>
        </w:rPr>
        <w:t>I</w:t>
      </w:r>
    </w:p>
    <w:bookmarkEnd w:id="7"/>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w:cs="Times"/>
          <w:sz w:val="20"/>
          <w:szCs w:val="20"/>
          <w:effect w:val="none"/>
        </w:rPr>
        <w:fldChar w:fldCharType="end"/>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 la base de la plupart des tribus australiennes, nous trouvons un groupe qui tient dans la vie collective une place prépondérante : c'est le clan. Deux traits essentiels le carac</w:t>
      </w:r>
      <w:r w:rsidRPr="009A6BD2">
        <w:rPr>
          <w:rFonts w:ascii="Times New Roman" w:hAnsi="Times New Roman" w:cs="Times"/>
        </w:rPr>
        <w:t>térisent.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premier lieu, les individus qui le composent se considèrent comme unis par un lien de parenté, mais qui est d'une nature très spéciale. Cette parenté ne vient pas de ce qu'ils soutiennent les uns avec les autres des relations définies de cons</w:t>
      </w:r>
      <w:r w:rsidRPr="009A6BD2">
        <w:rPr>
          <w:rFonts w:ascii="Times New Roman" w:hAnsi="Times New Roman" w:cs="Times"/>
        </w:rPr>
        <w:t>anguinité ; ils sont parents par cela seul qu'ils portent un même nom. Ils ne sont pas pères, mères, fils ou filles, oncles on neveux les uns des autres au sens que nous donnons actuellement à ces expressions; et cependant ils se regardent comme formant un</w:t>
      </w:r>
      <w:r w:rsidRPr="009A6BD2">
        <w:rPr>
          <w:rFonts w:ascii="Times New Roman" w:hAnsi="Times New Roman" w:cs="Times"/>
        </w:rPr>
        <w:t>e même famille. ou large ou étroite suivant les dimensions du clan, par cela seul qu'ils sont collectivement désignés par le même mot. Et si nous disons qu'ils se regardent comme d'une même famille, c'est ce qu'ils se reconnaissent les uns envers les autre</w:t>
      </w:r>
      <w:r w:rsidRPr="009A6BD2">
        <w:rPr>
          <w:rFonts w:ascii="Times New Roman" w:hAnsi="Times New Roman" w:cs="Times"/>
        </w:rPr>
        <w:t>s des devoirs identiques à ceux qui, de tout temps, ont incombé aux parents : devoirs d'assistance, de vendetta, de deuil, obligation de ne pas se marier entre eux, etc.</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par ce premier caractère, le clan ne se distingue pas de la </w:t>
      </w:r>
      <w:r w:rsidRPr="009A6BD2">
        <w:rPr>
          <w:rFonts w:ascii="Times New Roman" w:hAnsi="Times New Roman" w:cs="Times"/>
          <w:i/>
          <w:iCs/>
        </w:rPr>
        <w:t xml:space="preserve">gens </w:t>
      </w:r>
      <w:r w:rsidRPr="009A6BD2">
        <w:rPr>
          <w:rFonts w:ascii="Times New Roman" w:hAnsi="Times New Roman" w:cs="Times"/>
        </w:rPr>
        <w:t xml:space="preserve">romaine et du </w:t>
      </w:r>
      <w:r w:rsidRPr="009A6BD2">
        <w:rPr>
          <w:rFonts w:ascii="Times New Roman" w:hAnsi="Times New Roman" w:cs="Times"/>
          <w:i/>
          <w:iCs/>
        </w:rPr>
        <w:t>genos</w:t>
      </w:r>
      <w:r w:rsidRPr="009A6BD2">
        <w:rPr>
          <w:rFonts w:ascii="Times New Roman" w:hAnsi="Times New Roman" w:cs="Times"/>
        </w:rPr>
        <w:t xml:space="preserve"> grec; car la parenté des gentils, elle aussi, venait exclusivement de ce que tous les membres de la </w:t>
      </w:r>
      <w:r w:rsidRPr="009A6BD2">
        <w:rPr>
          <w:rFonts w:ascii="Times New Roman" w:hAnsi="Times New Roman" w:cs="Times"/>
          <w:i/>
          <w:iCs/>
        </w:rPr>
        <w:t xml:space="preserve">gens </w:t>
      </w:r>
      <w:r w:rsidRPr="009A6BD2">
        <w:rPr>
          <w:rFonts w:ascii="Times New Roman" w:hAnsi="Times New Roman" w:cs="Times"/>
        </w:rPr>
        <w:t>portaient le même nom </w:t>
      </w:r>
      <w:r w:rsidRPr="009A6BD2">
        <w:rPr>
          <w:rStyle w:val="Rimandonotaapidipagina"/>
          <w:rFonts w:ascii="Times" w:hAnsi="Times" w:cs="Times"/>
        </w:rPr>
        <w:footnoteReference w:id="1"/>
      </w:r>
      <w:r w:rsidRPr="009A6BD2">
        <w:rPr>
          <w:rFonts w:ascii="Times New Roman" w:hAnsi="Times New Roman" w:cs="Times"/>
        </w:rPr>
        <w:t xml:space="preserve">, le </w:t>
      </w:r>
      <w:r w:rsidRPr="009A6BD2">
        <w:rPr>
          <w:rFonts w:ascii="Times New Roman" w:hAnsi="Times New Roman" w:cs="Times"/>
          <w:i/>
          <w:iCs/>
        </w:rPr>
        <w:t xml:space="preserve">nomen gentilicium. </w:t>
      </w:r>
      <w:r w:rsidRPr="009A6BD2">
        <w:rPr>
          <w:rFonts w:ascii="Times New Roman" w:hAnsi="Times New Roman" w:cs="Times"/>
        </w:rPr>
        <w:t xml:space="preserve">Et sans doute, en un sens, la </w:t>
      </w:r>
      <w:r w:rsidRPr="009A6BD2">
        <w:rPr>
          <w:rFonts w:ascii="Times New Roman" w:hAnsi="Times New Roman" w:cs="Times"/>
          <w:i/>
          <w:iCs/>
        </w:rPr>
        <w:t xml:space="preserve">gens </w:t>
      </w:r>
      <w:r w:rsidRPr="009A6BD2">
        <w:rPr>
          <w:rFonts w:ascii="Times New Roman" w:hAnsi="Times New Roman" w:cs="Times"/>
        </w:rPr>
        <w:t>est un clan; mais c'est une variété du genre qui ne doit pas êt</w:t>
      </w:r>
      <w:r w:rsidRPr="009A6BD2">
        <w:rPr>
          <w:rFonts w:ascii="Times New Roman" w:hAnsi="Times New Roman" w:cs="Times"/>
        </w:rPr>
        <w:t>re confondue avec le clan australien </w:t>
      </w:r>
      <w:r w:rsidRPr="009A6BD2">
        <w:rPr>
          <w:rStyle w:val="Rimandonotaapidipagina"/>
          <w:rFonts w:ascii="Times" w:hAnsi="Times" w:cs="Times"/>
        </w:rPr>
        <w:footnoteReference w:id="2"/>
      </w:r>
      <w:r w:rsidRPr="009A6BD2">
        <w:rPr>
          <w:rFonts w:ascii="Times New Roman" w:hAnsi="Times New Roman" w:cs="Times"/>
        </w:rPr>
        <w:t xml:space="preserve">. Ce qui différencie ce dernier, c'est que le nom qu'il porte est aussi celui d'une espèce déterminée de choses matérielles avec lesquelles il croit soutenir des rapports très particuliers dont nous aurons plus tard à </w:t>
      </w:r>
      <w:r w:rsidRPr="009A6BD2">
        <w:rPr>
          <w:rFonts w:ascii="Times New Roman" w:hAnsi="Times New Roman" w:cs="Times"/>
        </w:rPr>
        <w:t xml:space="preserve">dire la nature; ce sont notamment des rapports de parenté. L'espèce de choses qui sert à désigner collectivement le clan s'appelle son </w:t>
      </w:r>
      <w:r w:rsidRPr="009A6BD2">
        <w:rPr>
          <w:rFonts w:ascii="Times New Roman" w:hAnsi="Times New Roman" w:cs="Times"/>
          <w:i/>
          <w:iCs/>
        </w:rPr>
        <w:t xml:space="preserve">totem. </w:t>
      </w:r>
      <w:r w:rsidRPr="009A6BD2">
        <w:rPr>
          <w:rFonts w:ascii="Times New Roman" w:hAnsi="Times New Roman" w:cs="Times"/>
        </w:rPr>
        <w:t>Le totem du clan est aussi celui de chacun de ses membres.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lastRenderedPageBreak/>
        <w:t>Chaque clan a son totem qui lui appartient en propre d</w:t>
      </w:r>
      <w:r w:rsidRPr="009A6BD2">
        <w:rPr>
          <w:rFonts w:ascii="Times New Roman" w:hAnsi="Times New Roman" w:cs="Times"/>
        </w:rPr>
        <w:t>eux clans différents d'une même tribu ne sauraient avoir le même. En effet, on fait partie d'un clan par cela seul qu'on porte un certain nom. Tous ceux donc qui portent ce nom en sont membres au même titre; de quelque manière qu'ils soient répartis sur le</w:t>
      </w:r>
      <w:r w:rsidRPr="009A6BD2">
        <w:rPr>
          <w:rFonts w:ascii="Times New Roman" w:hAnsi="Times New Roman" w:cs="Times"/>
        </w:rPr>
        <w:t xml:space="preserve"> territoire tribal, ils soutiennent tous, les uns avec les autres, les mêmes rapports de parenté </w:t>
      </w:r>
      <w:r w:rsidRPr="009A6BD2">
        <w:rPr>
          <w:rStyle w:val="Rimandonotaapidipagina"/>
          <w:rFonts w:ascii="Times" w:hAnsi="Times" w:cs="Times"/>
        </w:rPr>
        <w:footnoteReference w:id="3"/>
      </w:r>
      <w:r w:rsidRPr="009A6BD2">
        <w:rPr>
          <w:rFonts w:ascii="Times New Roman" w:hAnsi="Times New Roman" w:cs="Times"/>
        </w:rPr>
        <w:t xml:space="preserve">. Par conséquent, deux groupes qui ont un même totem ne peuvent être que deux sections d'un même clan. Sans doute, il arrive souvent qu'un clan ne réside pas </w:t>
      </w:r>
      <w:r w:rsidRPr="009A6BD2">
        <w:rPr>
          <w:rFonts w:ascii="Times New Roman" w:hAnsi="Times New Roman" w:cs="Times"/>
        </w:rPr>
        <w:t>tout entier dans une même localité, mais compte des représentants en des endroits différents. Son unité, cependant, ne laisse pas d'être sentie alors même qu'elle n'a pas de base géographique.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Quant au mot de totem, c'est celui qu'emploient les Ojibway, t</w:t>
      </w:r>
      <w:r w:rsidRPr="009A6BD2">
        <w:rPr>
          <w:rFonts w:ascii="Times New Roman" w:hAnsi="Times New Roman" w:cs="Times"/>
        </w:rPr>
        <w:t>ribu algonkine, pour dési</w:t>
      </w:r>
      <w:r w:rsidRPr="009A6BD2">
        <w:rPr>
          <w:rFonts w:ascii="Times" w:hAnsi="Times" w:cs="Times"/>
        </w:rPr>
        <w:softHyphen/>
      </w:r>
      <w:r w:rsidRPr="009A6BD2">
        <w:rPr>
          <w:rFonts w:ascii="Times New Roman" w:hAnsi="Times New Roman" w:cs="Times"/>
        </w:rPr>
        <w:t>gner l'espèce de choses dont un clan porte le nom </w:t>
      </w:r>
      <w:r w:rsidRPr="009A6BD2">
        <w:rPr>
          <w:rStyle w:val="Rimandonotaapidipagina"/>
          <w:rFonts w:ascii="Times" w:hAnsi="Times" w:cs="Times"/>
        </w:rPr>
        <w:footnoteReference w:id="4"/>
      </w:r>
      <w:r w:rsidRPr="009A6BD2">
        <w:rPr>
          <w:rFonts w:ascii="Times New Roman" w:hAnsi="Times New Roman" w:cs="Times"/>
        </w:rPr>
        <w:t>. Bien que l'expression n'ait rien d'aus</w:t>
      </w:r>
      <w:r w:rsidRPr="009A6BD2">
        <w:rPr>
          <w:rFonts w:ascii="Times" w:hAnsi="Times" w:cs="Times"/>
        </w:rPr>
        <w:softHyphen/>
      </w:r>
      <w:r w:rsidRPr="009A6BD2">
        <w:rPr>
          <w:rFonts w:ascii="Times New Roman" w:hAnsi="Times New Roman" w:cs="Times"/>
        </w:rPr>
        <w:t>tra</w:t>
      </w:r>
      <w:r w:rsidRPr="009A6BD2">
        <w:rPr>
          <w:rFonts w:ascii="Times" w:hAnsi="Times" w:cs="Times"/>
        </w:rPr>
        <w:softHyphen/>
      </w:r>
      <w:r w:rsidRPr="009A6BD2">
        <w:rPr>
          <w:rFonts w:ascii="Times New Roman" w:hAnsi="Times New Roman" w:cs="Times"/>
        </w:rPr>
        <w:t>lien </w:t>
      </w:r>
      <w:r w:rsidRPr="009A6BD2">
        <w:rPr>
          <w:rStyle w:val="Rimandonotaapidipagina"/>
          <w:rFonts w:ascii="Times" w:hAnsi="Times" w:cs="Times"/>
        </w:rPr>
        <w:footnoteReference w:id="5"/>
      </w:r>
      <w:r w:rsidRPr="009A6BD2">
        <w:rPr>
          <w:rFonts w:ascii="Times New Roman" w:hAnsi="Times New Roman" w:cs="Times"/>
        </w:rPr>
        <w:t xml:space="preserve"> et qu'elle ne se rencontre même que dans une seule société d'Amérique, les ethnogra</w:t>
      </w:r>
      <w:r w:rsidRPr="009A6BD2">
        <w:rPr>
          <w:rFonts w:ascii="Times" w:hAnsi="Times" w:cs="Times"/>
        </w:rPr>
        <w:softHyphen/>
      </w:r>
      <w:r w:rsidRPr="009A6BD2">
        <w:rPr>
          <w:rFonts w:ascii="Times New Roman" w:hAnsi="Times New Roman" w:cs="Times"/>
        </w:rPr>
        <w:t>phes l'ont définitivement adoptée et s'en s</w:t>
      </w:r>
      <w:r w:rsidRPr="009A6BD2">
        <w:rPr>
          <w:rFonts w:ascii="Times New Roman" w:hAnsi="Times New Roman" w:cs="Times"/>
        </w:rPr>
        <w:t>ervent pour dénommer, d'une manière générale, l'institu</w:t>
      </w:r>
      <w:r w:rsidRPr="009A6BD2">
        <w:rPr>
          <w:rFonts w:ascii="Times" w:hAnsi="Times" w:cs="Times"/>
        </w:rPr>
        <w:softHyphen/>
      </w:r>
      <w:r w:rsidRPr="009A6BD2">
        <w:rPr>
          <w:rFonts w:ascii="Times New Roman" w:hAnsi="Times New Roman" w:cs="Times"/>
        </w:rPr>
        <w:t>tion que nous sommes en train de décrire. C'est Schoocraft qui, le premier, a ainsi éten</w:t>
      </w:r>
      <w:r w:rsidRPr="009A6BD2">
        <w:rPr>
          <w:rFonts w:ascii="Times" w:hAnsi="Times" w:cs="Times"/>
        </w:rPr>
        <w:softHyphen/>
      </w:r>
      <w:r w:rsidRPr="009A6BD2">
        <w:rPr>
          <w:rFonts w:ascii="Times New Roman" w:hAnsi="Times New Roman" w:cs="Times"/>
        </w:rPr>
        <w:t>du le sens du mot et parlé d'un « système totémique » </w:t>
      </w:r>
      <w:r w:rsidRPr="009A6BD2">
        <w:rPr>
          <w:rStyle w:val="Rimandonotaapidipagina"/>
          <w:rFonts w:ascii="Times" w:hAnsi="Times" w:cs="Times"/>
        </w:rPr>
        <w:footnoteReference w:id="6"/>
      </w:r>
      <w:r w:rsidRPr="009A6BD2">
        <w:rPr>
          <w:rFonts w:ascii="Times New Roman" w:hAnsi="Times New Roman" w:cs="Times"/>
        </w:rPr>
        <w:t>. Cette extension, dont il y a d'assez nombreux exemples</w:t>
      </w:r>
      <w:r w:rsidRPr="009A6BD2">
        <w:rPr>
          <w:rFonts w:ascii="Times New Roman" w:hAnsi="Times New Roman" w:cs="Times"/>
        </w:rPr>
        <w:t xml:space="preserve"> en ethnographie, n'est assurément pas sans inconvénients. Il n'est pas normal qu'une institution de cette importance porte un nom de fortune, emprunté à un idiome étroitement local, et qui ne rappelle aucunement les caractères distinctifs de la chose qu'i</w:t>
      </w:r>
      <w:r w:rsidRPr="009A6BD2">
        <w:rPr>
          <w:rFonts w:ascii="Times New Roman" w:hAnsi="Times New Roman" w:cs="Times"/>
        </w:rPr>
        <w:t>l exprime. Mais aujourd'hui, cette manière d'employer le mot est si universellement accep</w:t>
      </w:r>
      <w:r w:rsidRPr="009A6BD2">
        <w:rPr>
          <w:rFonts w:ascii="Times" w:hAnsi="Times" w:cs="Times"/>
        </w:rPr>
        <w:softHyphen/>
      </w:r>
      <w:r w:rsidRPr="009A6BD2">
        <w:rPr>
          <w:rFonts w:ascii="Times" w:hAnsi="Times" w:cs="Times"/>
        </w:rPr>
        <w:softHyphen/>
      </w:r>
      <w:r w:rsidRPr="009A6BD2">
        <w:rPr>
          <w:rFonts w:ascii="Times New Roman" w:hAnsi="Times New Roman" w:cs="Times"/>
        </w:rPr>
        <w:t>tée qu'il y aurait un excès de purisme à s'insurger contre l'usage </w:t>
      </w:r>
      <w:r w:rsidRPr="009A6BD2">
        <w:rPr>
          <w:rStyle w:val="Rimandonotaapidipagina"/>
          <w:rFonts w:ascii="Times" w:hAnsi="Times" w:cs="Times"/>
        </w:rPr>
        <w:footnoteReference w:id="7"/>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Les objets qui servent de totems appartiennent, dans la très grande généralité des cas, soit a</w:t>
      </w:r>
      <w:r w:rsidRPr="009A6BD2">
        <w:rPr>
          <w:rFonts w:ascii="Times New Roman" w:hAnsi="Times New Roman" w:cs="Times"/>
        </w:rPr>
        <w:t>u règne végétal soit au règne animal, mais principalement à ce dernier. Quant aux choses inanimées, elles sont beaucoup plus rarement employées. Sur plus de 500 noms totémiques relevés par Howitt parmi les tribus du sud-est australien, il n'y en a guère qu</w:t>
      </w:r>
      <w:r w:rsidRPr="009A6BD2">
        <w:rPr>
          <w:rFonts w:ascii="Times New Roman" w:hAnsi="Times New Roman" w:cs="Times"/>
        </w:rPr>
        <w:t>'une quarantaine qui ne soient pas des noms de plantes ou d'animaux : ce sont les nuages, la pluie, la grêle, la gelée, la lune, le soleil, le vent, l'automne, l'été, l'hiver, certaines étoiles, le tonnerre, le feu, la fumée, l'eau, l'ocre rouge, la mer. O</w:t>
      </w:r>
      <w:r w:rsidRPr="009A6BD2">
        <w:rPr>
          <w:rFonts w:ascii="Times New Roman" w:hAnsi="Times New Roman" w:cs="Times"/>
        </w:rPr>
        <w:t xml:space="preserve">n remarquera la place très restreinte faite aux corps </w:t>
      </w:r>
      <w:r w:rsidRPr="009A6BD2">
        <w:rPr>
          <w:rFonts w:ascii="Times New Roman" w:hAnsi="Times New Roman" w:cs="Times"/>
        </w:rPr>
        <w:lastRenderedPageBreak/>
        <w:t>célestes et même, plus généralement, aux grands phénomènes cosmiques qui, pourtant, étaient destinés à une si grande fortune dans la suite du développement religieux. Parmi tous les clans dont nous parl</w:t>
      </w:r>
      <w:r w:rsidRPr="009A6BD2">
        <w:rPr>
          <w:rFonts w:ascii="Times New Roman" w:hAnsi="Times New Roman" w:cs="Times"/>
        </w:rPr>
        <w:t>e Howitt, il n'y en a que deux qui aient pour totem la lune </w:t>
      </w:r>
      <w:r w:rsidRPr="009A6BD2">
        <w:rPr>
          <w:rStyle w:val="Rimandonotaapidipagina"/>
          <w:rFonts w:ascii="Times" w:hAnsi="Times" w:cs="Times"/>
        </w:rPr>
        <w:footnoteReference w:id="8"/>
      </w:r>
      <w:r w:rsidRPr="009A6BD2">
        <w:rPr>
          <w:rFonts w:ascii="Times New Roman" w:hAnsi="Times New Roman" w:cs="Times"/>
        </w:rPr>
        <w:t>, deux le soleil </w:t>
      </w:r>
      <w:r w:rsidRPr="009A6BD2">
        <w:rPr>
          <w:rStyle w:val="Rimandonotaapidipagina"/>
          <w:rFonts w:ascii="Times" w:hAnsi="Times" w:cs="Times"/>
        </w:rPr>
        <w:footnoteReference w:id="9"/>
      </w:r>
      <w:r w:rsidRPr="009A6BD2">
        <w:rPr>
          <w:rFonts w:ascii="Times New Roman" w:hAnsi="Times New Roman" w:cs="Times"/>
        </w:rPr>
        <w:t>, trois une étoile </w:t>
      </w:r>
      <w:r w:rsidRPr="009A6BD2">
        <w:rPr>
          <w:rStyle w:val="Rimandonotaapidipagina"/>
          <w:rFonts w:ascii="Times" w:hAnsi="Times" w:cs="Times"/>
        </w:rPr>
        <w:footnoteReference w:id="10"/>
      </w:r>
      <w:r w:rsidRPr="009A6BD2">
        <w:rPr>
          <w:rFonts w:ascii="Times New Roman" w:hAnsi="Times New Roman" w:cs="Times"/>
        </w:rPr>
        <w:t>, trois le tonnerre </w:t>
      </w:r>
      <w:r w:rsidRPr="009A6BD2">
        <w:rPr>
          <w:rStyle w:val="Rimandonotaapidipagina"/>
          <w:rFonts w:ascii="Times" w:hAnsi="Times" w:cs="Times"/>
        </w:rPr>
        <w:footnoteReference w:id="11"/>
      </w:r>
      <w:r w:rsidRPr="009A6BD2">
        <w:rPr>
          <w:rFonts w:ascii="Times New Roman" w:hAnsi="Times New Roman" w:cs="Times"/>
        </w:rPr>
        <w:t>, deux les éclairs </w:t>
      </w:r>
      <w:r w:rsidRPr="009A6BD2">
        <w:rPr>
          <w:rStyle w:val="Rimandonotaapidipagina"/>
          <w:rFonts w:ascii="Times" w:hAnsi="Times" w:cs="Times"/>
        </w:rPr>
        <w:footnoteReference w:id="12"/>
      </w:r>
      <w:r w:rsidRPr="009A6BD2">
        <w:rPr>
          <w:rFonts w:ascii="Times New Roman" w:hAnsi="Times New Roman" w:cs="Times"/>
        </w:rPr>
        <w:t>. La pluie seule fait exception ; elle est, au contraire, très fréquente </w:t>
      </w:r>
      <w:r w:rsidRPr="009A6BD2">
        <w:rPr>
          <w:rStyle w:val="Rimandonotaapidipagina"/>
          <w:rFonts w:ascii="Times" w:hAnsi="Times" w:cs="Times"/>
        </w:rPr>
        <w:footnoteReference w:id="1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Tels sont les totems que l'on pourrait </w:t>
      </w:r>
      <w:r w:rsidRPr="009A6BD2">
        <w:rPr>
          <w:rFonts w:ascii="Times New Roman" w:hAnsi="Times New Roman" w:cs="Times"/>
        </w:rPr>
        <w:t>appeler normaux. Mais le totémisme a ses ano</w:t>
      </w:r>
      <w:r w:rsidRPr="009A6BD2">
        <w:rPr>
          <w:rFonts w:ascii="Times" w:hAnsi="Times" w:cs="Times"/>
        </w:rPr>
        <w:softHyphen/>
      </w:r>
      <w:r w:rsidRPr="009A6BD2">
        <w:rPr>
          <w:rFonts w:ascii="Times New Roman" w:hAnsi="Times New Roman" w:cs="Times"/>
        </w:rPr>
        <w:t>ma</w:t>
      </w:r>
      <w:r w:rsidRPr="009A6BD2">
        <w:rPr>
          <w:rFonts w:ascii="Times" w:hAnsi="Times" w:cs="Times"/>
        </w:rPr>
        <w:softHyphen/>
      </w:r>
      <w:r w:rsidRPr="009A6BD2">
        <w:rPr>
          <w:rFonts w:ascii="Times New Roman" w:hAnsi="Times New Roman" w:cs="Times"/>
        </w:rPr>
        <w:t>lies. Ainsi, il arrive que le totem est, non pas un objet tout entier, mais une partie d'objet. Le fait paraît assez rare en Australie </w:t>
      </w:r>
      <w:r w:rsidRPr="009A6BD2">
        <w:rPr>
          <w:rStyle w:val="Rimandonotaapidipagina"/>
          <w:rFonts w:ascii="Times" w:hAnsi="Times" w:cs="Times"/>
        </w:rPr>
        <w:footnoteReference w:id="14"/>
      </w:r>
      <w:r w:rsidRPr="009A6BD2">
        <w:rPr>
          <w:rFonts w:ascii="Times New Roman" w:hAnsi="Times New Roman" w:cs="Times"/>
        </w:rPr>
        <w:t xml:space="preserve"> ; Howitt n'en cite qu'un seul exemple </w:t>
      </w:r>
      <w:r w:rsidRPr="009A6BD2">
        <w:rPr>
          <w:rStyle w:val="Rimandonotaapidipagina"/>
          <w:rFonts w:ascii="Times" w:hAnsi="Times" w:cs="Times"/>
        </w:rPr>
        <w:footnoteReference w:id="15"/>
      </w:r>
      <w:r w:rsidRPr="009A6BD2">
        <w:rPr>
          <w:rFonts w:ascii="Times New Roman" w:hAnsi="Times New Roman" w:cs="Times"/>
        </w:rPr>
        <w:t>. Cepen</w:t>
      </w:r>
      <w:r w:rsidRPr="009A6BD2">
        <w:rPr>
          <w:rFonts w:ascii="Times" w:hAnsi="Times" w:cs="Times"/>
        </w:rPr>
        <w:softHyphen/>
      </w:r>
      <w:r w:rsidRPr="009A6BD2">
        <w:rPr>
          <w:rFonts w:ascii="Times New Roman" w:hAnsi="Times New Roman" w:cs="Times"/>
        </w:rPr>
        <w:t>dant, il pour</w:t>
      </w:r>
      <w:r w:rsidRPr="009A6BD2">
        <w:rPr>
          <w:rFonts w:ascii="Times" w:hAnsi="Times" w:cs="Times"/>
        </w:rPr>
        <w:softHyphen/>
      </w:r>
      <w:r w:rsidRPr="009A6BD2">
        <w:rPr>
          <w:rFonts w:ascii="Times New Roman" w:hAnsi="Times New Roman" w:cs="Times"/>
        </w:rPr>
        <w:t xml:space="preserve">rait bien </w:t>
      </w:r>
      <w:r w:rsidRPr="009A6BD2">
        <w:rPr>
          <w:rFonts w:ascii="Times New Roman" w:hAnsi="Times New Roman" w:cs="Times"/>
        </w:rPr>
        <w:t>se faire qu'il se rencontrât avec une certaine fréquence dans les tribus où les groupes totémiques se sont subdivisés avec excès ; on dirait que les totems eux-mêmes ont dû se fragmenter pour pouvoir fournir des noms à ces multiples divisions. C'est ce qui</w:t>
      </w:r>
      <w:r w:rsidRPr="009A6BD2">
        <w:rPr>
          <w:rFonts w:ascii="Times New Roman" w:hAnsi="Times New Roman" w:cs="Times"/>
        </w:rPr>
        <w:t xml:space="preserve"> paraît s'être produit chez les Arunta et les Loritja. Strehlow a relevé dans ces deux sociétés jusqu'à 442 totems dont plusieurs désignent non une espèce animale, mais un organe particulier des ani</w:t>
      </w:r>
      <w:r w:rsidRPr="009A6BD2">
        <w:rPr>
          <w:rFonts w:ascii="Times" w:hAnsi="Times" w:cs="Times"/>
        </w:rPr>
        <w:softHyphen/>
      </w:r>
      <w:r w:rsidRPr="009A6BD2">
        <w:rPr>
          <w:rFonts w:ascii="Times New Roman" w:hAnsi="Times New Roman" w:cs="Times"/>
        </w:rPr>
        <w:t>maux de cette espèce, par exemple, la queue, l'estomac de</w:t>
      </w:r>
      <w:r w:rsidRPr="009A6BD2">
        <w:rPr>
          <w:rFonts w:ascii="Times New Roman" w:hAnsi="Times New Roman" w:cs="Times"/>
        </w:rPr>
        <w:t xml:space="preserve"> l'opossum, la graisse du kangourou, etc. </w:t>
      </w:r>
      <w:r w:rsidRPr="009A6BD2">
        <w:rPr>
          <w:rStyle w:val="Rimandonotaapidipagina"/>
          <w:rFonts w:ascii="Times" w:hAnsi="Times" w:cs="Times"/>
        </w:rPr>
        <w:footnoteReference w:id="16"/>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avons vu que, normalement, le totem n'est pas un individu, mais une espèce ou une variété : ce n'est pas tel kangourou, tel corbeau, mais le kangourou ou l'émou en général. Parfois, cependant, c'est un obj</w:t>
      </w:r>
      <w:r w:rsidRPr="009A6BD2">
        <w:rPr>
          <w:rFonts w:ascii="Times New Roman" w:hAnsi="Times New Roman" w:cs="Times"/>
        </w:rPr>
        <w:t>et particulier. Tout d'abord, c'est forcément le cas toutes les fois où c'est une chose unique en son genre qui sert de totem, comme le soleil, la lune, telle constellation, etc. Mais il arrive aussi que des clans tirent leur nom de tel pli ou de telle dép</w:t>
      </w:r>
      <w:r w:rsidRPr="009A6BD2">
        <w:rPr>
          <w:rFonts w:ascii="Times New Roman" w:hAnsi="Times New Roman" w:cs="Times"/>
        </w:rPr>
        <w:t>ression de terrain, géographiquement déterminés, de telle fourmilière, etc. Nous n'en connaissons, il est vrai, qu'un petit nombre d'exemples en Australie ; Strehlow en cite pour</w:t>
      </w:r>
      <w:r w:rsidRPr="009A6BD2">
        <w:rPr>
          <w:rFonts w:ascii="Times" w:hAnsi="Times" w:cs="Times"/>
        </w:rPr>
        <w:softHyphen/>
      </w:r>
      <w:r w:rsidRPr="009A6BD2">
        <w:rPr>
          <w:rFonts w:ascii="Times New Roman" w:hAnsi="Times New Roman" w:cs="Times"/>
        </w:rPr>
        <w:t>tant quelques-uns </w:t>
      </w:r>
      <w:r w:rsidRPr="009A6BD2">
        <w:rPr>
          <w:rStyle w:val="Rimandonotaapidipagina"/>
          <w:rFonts w:ascii="Times" w:hAnsi="Times" w:cs="Times"/>
        </w:rPr>
        <w:footnoteReference w:id="17"/>
      </w:r>
      <w:r w:rsidRPr="009A6BD2">
        <w:rPr>
          <w:rFonts w:ascii="Times New Roman" w:hAnsi="Times New Roman" w:cs="Times"/>
        </w:rPr>
        <w:t>. Mais les causes mêmes qui ont donné naissance à ces tote</w:t>
      </w:r>
      <w:r w:rsidRPr="009A6BD2">
        <w:rPr>
          <w:rFonts w:ascii="Times New Roman" w:hAnsi="Times New Roman" w:cs="Times"/>
        </w:rPr>
        <w:t xml:space="preserve">ms anormaux démontrent qu'ils sont d'une origine relativement récente. En effet, ce qui a fait ériger en totems certains emplacements, c'est qu'un ancêtre mythique passe pour s'y être arrêté ou y </w:t>
      </w:r>
      <w:r w:rsidRPr="009A6BD2">
        <w:rPr>
          <w:rFonts w:ascii="Times New Roman" w:hAnsi="Times New Roman" w:cs="Times"/>
        </w:rPr>
        <w:lastRenderedPageBreak/>
        <w:t>avoir accompli quelque acte de sa vie légendaire </w:t>
      </w:r>
      <w:r w:rsidRPr="009A6BD2">
        <w:rPr>
          <w:rStyle w:val="Rimandonotaapidipagina"/>
          <w:rFonts w:ascii="Times" w:hAnsi="Times" w:cs="Times"/>
        </w:rPr>
        <w:footnoteReference w:id="18"/>
      </w:r>
      <w:r w:rsidRPr="009A6BD2">
        <w:rPr>
          <w:rFonts w:ascii="Times New Roman" w:hAnsi="Times New Roman" w:cs="Times"/>
        </w:rPr>
        <w:t>. Or ces a</w:t>
      </w:r>
      <w:r w:rsidRPr="009A6BD2">
        <w:rPr>
          <w:rFonts w:ascii="Times New Roman" w:hAnsi="Times New Roman" w:cs="Times"/>
        </w:rPr>
        <w:t>ncêtres nous sont, en même temps, présentés dans les mythes comme appartenant eux-mêmes à des clans qui avaient des totems parfaite</w:t>
      </w:r>
      <w:r w:rsidRPr="009A6BD2">
        <w:rPr>
          <w:rFonts w:ascii="Times" w:hAnsi="Times" w:cs="Times"/>
        </w:rPr>
        <w:softHyphen/>
      </w:r>
      <w:r w:rsidRPr="009A6BD2">
        <w:rPr>
          <w:rFonts w:ascii="Times New Roman" w:hAnsi="Times New Roman" w:cs="Times"/>
        </w:rPr>
        <w:t>ment réguliers, c'est-à-dire empruntés à des espèces animales ou végétales. Les dénomina</w:t>
      </w:r>
      <w:r w:rsidRPr="009A6BD2">
        <w:rPr>
          <w:rFonts w:ascii="Times" w:hAnsi="Times" w:cs="Times"/>
        </w:rPr>
        <w:softHyphen/>
      </w:r>
      <w:r w:rsidRPr="009A6BD2">
        <w:rPr>
          <w:rFonts w:ascii="Times New Roman" w:hAnsi="Times New Roman" w:cs="Times"/>
        </w:rPr>
        <w:t>tions totémiques qui commémorent le</w:t>
      </w:r>
      <w:r w:rsidRPr="009A6BD2">
        <w:rPr>
          <w:rFonts w:ascii="Times New Roman" w:hAnsi="Times New Roman" w:cs="Times"/>
        </w:rPr>
        <w:t>s faits et gestes de ces héros ne peuvent donc avoir été primitives, mais elles correspondent à une forme de totémisme déjà dérivée et déviée. Il est permis de se demander si les totems météorologiques n'ont pas la même origine; car le soleil, la lune, les</w:t>
      </w:r>
      <w:r w:rsidRPr="009A6BD2">
        <w:rPr>
          <w:rFonts w:ascii="Times New Roman" w:hAnsi="Times New Roman" w:cs="Times"/>
        </w:rPr>
        <w:t xml:space="preserve"> astres sont souvent identifiés avec les ancêtres de l'époque fabu</w:t>
      </w:r>
      <w:r w:rsidRPr="009A6BD2">
        <w:rPr>
          <w:rFonts w:ascii="Times" w:hAnsi="Times" w:cs="Times"/>
        </w:rPr>
        <w:softHyphen/>
      </w:r>
      <w:r w:rsidRPr="009A6BD2">
        <w:rPr>
          <w:rFonts w:ascii="Times New Roman" w:hAnsi="Times New Roman" w:cs="Times"/>
        </w:rPr>
        <w:t>leuse </w:t>
      </w:r>
      <w:r w:rsidRPr="009A6BD2">
        <w:rPr>
          <w:rStyle w:val="Rimandonotaapidipagina"/>
          <w:rFonts w:ascii="Times" w:hAnsi="Times" w:cs="Times"/>
        </w:rPr>
        <w:footnoteReference w:id="1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Quelquefois, mais non moins exceptionnellement, c'est un ancêtre ou un groupe d'ancê</w:t>
      </w:r>
      <w:r w:rsidRPr="009A6BD2">
        <w:rPr>
          <w:rFonts w:ascii="Times" w:hAnsi="Times" w:cs="Times"/>
        </w:rPr>
        <w:softHyphen/>
      </w:r>
      <w:r w:rsidRPr="009A6BD2">
        <w:rPr>
          <w:rFonts w:ascii="Times New Roman" w:hAnsi="Times New Roman" w:cs="Times"/>
        </w:rPr>
        <w:t>tres qui sert directement de totem. Le clan se nomme alors, non d'après une chose ou une espèc</w:t>
      </w:r>
      <w:r w:rsidRPr="009A6BD2">
        <w:rPr>
          <w:rFonts w:ascii="Times New Roman" w:hAnsi="Times New Roman" w:cs="Times"/>
        </w:rPr>
        <w:t>e de choses réelles, mais d'après un être purement mythique. Spencer et Gillen avaient déjà signalé deux ou trois totems de ce genre. Chez les Warramunga et chez les Tiingilli, il existe un clan qui porte le nom d'un ancêtre, appelé Thaballa, et qui semble</w:t>
      </w:r>
      <w:r w:rsidRPr="009A6BD2">
        <w:rPr>
          <w:rFonts w:ascii="Times New Roman" w:hAnsi="Times New Roman" w:cs="Times"/>
        </w:rPr>
        <w:t xml:space="preserve"> incarner la gaieté </w:t>
      </w:r>
      <w:r w:rsidRPr="009A6BD2">
        <w:rPr>
          <w:rStyle w:val="Rimandonotaapidipagina"/>
          <w:rFonts w:ascii="Times" w:hAnsi="Times" w:cs="Times"/>
        </w:rPr>
        <w:footnoteReference w:id="20"/>
      </w:r>
      <w:r w:rsidRPr="009A6BD2">
        <w:rPr>
          <w:rFonts w:ascii="Times New Roman" w:hAnsi="Times New Roman" w:cs="Times"/>
        </w:rPr>
        <w:t>. Un autre clan Warramunga porte le nom d'un serpent fabuleux, monstrueux, appelé Wollunqua, et dont le clan est censé descendu </w:t>
      </w:r>
      <w:r w:rsidRPr="009A6BD2">
        <w:rPr>
          <w:rStyle w:val="Rimandonotaapidipagina"/>
          <w:rFonts w:ascii="Times" w:hAnsi="Times" w:cs="Times"/>
        </w:rPr>
        <w:footnoteReference w:id="21"/>
      </w:r>
      <w:r w:rsidRPr="009A6BD2">
        <w:rPr>
          <w:rFonts w:ascii="Times New Roman" w:hAnsi="Times New Roman" w:cs="Times"/>
        </w:rPr>
        <w:t>. Nous devons à Strehlow quelques faits simi</w:t>
      </w:r>
      <w:r w:rsidRPr="009A6BD2">
        <w:rPr>
          <w:rFonts w:ascii="Times" w:hAnsi="Times" w:cs="Times"/>
        </w:rPr>
        <w:softHyphen/>
      </w:r>
      <w:r w:rsidRPr="009A6BD2">
        <w:rPr>
          <w:rFonts w:ascii="Times New Roman" w:hAnsi="Times New Roman" w:cs="Times"/>
        </w:rPr>
        <w:t>laires </w:t>
      </w:r>
      <w:r w:rsidRPr="009A6BD2">
        <w:rPr>
          <w:rStyle w:val="Rimandonotaapidipagina"/>
          <w:rFonts w:ascii="Times" w:hAnsi="Times" w:cs="Times"/>
        </w:rPr>
        <w:footnoteReference w:id="22"/>
      </w:r>
      <w:r w:rsidRPr="009A6BD2">
        <w:rPr>
          <w:rFonts w:ascii="Times New Roman" w:hAnsi="Times New Roman" w:cs="Times"/>
        </w:rPr>
        <w:t>. Dans tous les cas, il est assez aisé d'entrevoir ce</w:t>
      </w:r>
      <w:r w:rsidRPr="009A6BD2">
        <w:rPr>
          <w:rFonts w:ascii="Times New Roman" w:hAnsi="Times New Roman" w:cs="Times"/>
        </w:rPr>
        <w:t xml:space="preserve"> qui a dû se passer. Sous l'influence de causes diverses, par le développement même de la pensée mythologique, le totem collectif et impersonnel s'est effacé devant certains person</w:t>
      </w:r>
      <w:r w:rsidRPr="009A6BD2">
        <w:rPr>
          <w:rFonts w:ascii="Times" w:hAnsi="Times" w:cs="Times"/>
        </w:rPr>
        <w:softHyphen/>
      </w:r>
      <w:r w:rsidRPr="009A6BD2">
        <w:rPr>
          <w:rFonts w:ascii="Times New Roman" w:hAnsi="Times New Roman" w:cs="Times"/>
        </w:rPr>
        <w:t>nages mythiques qui sont passés au premier rang et qui sont devenus eux-mêm</w:t>
      </w:r>
      <w:r w:rsidRPr="009A6BD2">
        <w:rPr>
          <w:rFonts w:ascii="Times New Roman" w:hAnsi="Times New Roman" w:cs="Times"/>
        </w:rPr>
        <w:t>es des totems.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différentes irrégularités, si intéressantes qu'elles puissent être par ailleurs, n'ont donc rien qui nous oblige à modifier notre définition du totem. Elles ne constituent pas, comme on l'a cru parfois </w:t>
      </w:r>
      <w:r w:rsidRPr="009A6BD2">
        <w:rPr>
          <w:rStyle w:val="Rimandonotaapidipagina"/>
          <w:rFonts w:ascii="Times" w:hAnsi="Times" w:cs="Times"/>
        </w:rPr>
        <w:footnoteReference w:id="23"/>
      </w:r>
      <w:r w:rsidRPr="009A6BD2">
        <w:rPr>
          <w:rFonts w:ascii="Times New Roman" w:hAnsi="Times New Roman" w:cs="Times"/>
        </w:rPr>
        <w:t>, autant d'espèces de totems plus</w:t>
      </w:r>
      <w:r w:rsidRPr="009A6BD2">
        <w:rPr>
          <w:rFonts w:ascii="Times New Roman" w:hAnsi="Times New Roman" w:cs="Times"/>
        </w:rPr>
        <w:t xml:space="preserve"> ou moins irréductibles les unes aux autres et au totem normal, tel que nous l'avons défini. Ce sont seulement des formes secondaires et parfois aberrantes d'une seule et même notion qui est, et de beaucoup, la plus générale et qu'il y a tout lieu de regar</w:t>
      </w:r>
      <w:r w:rsidRPr="009A6BD2">
        <w:rPr>
          <w:rFonts w:ascii="Times New Roman" w:hAnsi="Times New Roman" w:cs="Times"/>
        </w:rPr>
        <w:t>der aussi comme la plus primitive.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Quant à la manière dont s'acquiert le nom totémique, elle intéresse le recrutement et l'organisation du clan plutôt que la religion ; elle ressortit donc à la sociologie de la famille </w:t>
      </w:r>
      <w:r w:rsidRPr="009A6BD2">
        <w:rPr>
          <w:rFonts w:ascii="Times New Roman" w:hAnsi="Times New Roman" w:cs="Times"/>
        </w:rPr>
        <w:lastRenderedPageBreak/>
        <w:t>plus qu'à la sociologie religieuse</w:t>
      </w:r>
      <w:r w:rsidRPr="009A6BD2">
        <w:rPr>
          <w:rFonts w:ascii="Times New Roman" w:hAnsi="Times New Roman" w:cs="Times"/>
        </w:rPr>
        <w:t> </w:t>
      </w:r>
      <w:r w:rsidRPr="009A6BD2">
        <w:rPr>
          <w:rStyle w:val="Rimandonotaapidipagina"/>
          <w:rFonts w:ascii="Times" w:hAnsi="Times" w:cs="Times"/>
        </w:rPr>
        <w:footnoteReference w:id="24"/>
      </w:r>
      <w:r w:rsidRPr="009A6BD2">
        <w:rPr>
          <w:rFonts w:ascii="Times New Roman" w:hAnsi="Times New Roman" w:cs="Times"/>
        </w:rPr>
        <w:t>. Aussi nous bornerons-nous à indiquer sommairement les principes les plus essentiels qui régissent la matière.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Suivant les tribus, trois règles différentes sont en usage.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Dans un grand nombre, on peut même dire le plus grand nombre de sociétés, l'enfa</w:t>
      </w:r>
      <w:r w:rsidRPr="009A6BD2">
        <w:rPr>
          <w:rFonts w:ascii="Times New Roman" w:hAnsi="Times New Roman" w:cs="Times"/>
        </w:rPr>
        <w:t xml:space="preserve">nt a pour totem celui de sa mère, par droit de naissance : c'est ce qui arrive chez les Dieri, les Urabunna du centre de l'Australie méridionale : les Wotjobaluk, les Gournditch-Mara de Victoria; les Kamilaroi, le Wiradjuri, les Wonghibon, les Euahlayi de </w:t>
      </w:r>
      <w:r w:rsidRPr="009A6BD2">
        <w:rPr>
          <w:rFonts w:ascii="Times New Roman" w:hAnsi="Times New Roman" w:cs="Times"/>
        </w:rPr>
        <w:t>la Nouvelle Galles du Sud; les Wakelbura, les Pitta-Pitta, les Kurnandaburi du Queensland, pour ne citer que les noms les plus importants. Dans ce cas, comme, en vertu de la règle exogamique, la mère est obligatoirement d'un autre totem que son mari et com</w:t>
      </w:r>
      <w:r w:rsidRPr="009A6BD2">
        <w:rPr>
          <w:rFonts w:ascii="Times New Roman" w:hAnsi="Times New Roman" w:cs="Times"/>
        </w:rPr>
        <w:t>me, d'autre part, elle vit dans la localité de ce dernier, les membres d'un même totem sont nécessairement dispersés entre des localités différentes suivant les hasards des mariages qui se contractent. Il en résulte que le groupe totémique manque de base t</w:t>
      </w:r>
      <w:r w:rsidRPr="009A6BD2">
        <w:rPr>
          <w:rFonts w:ascii="Times New Roman" w:hAnsi="Times New Roman" w:cs="Times"/>
        </w:rPr>
        <w:t>erritoriale.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Ailleurs, le totem se transmet en ligne paternelle. Cette fois, l'enfant restant auprès de son père, le groupe local est essentiellement formé de gens qui appartiennent au même totem ; seules les femmes mariées y représentent des totems étran</w:t>
      </w:r>
      <w:r w:rsidRPr="009A6BD2">
        <w:rPr>
          <w:rFonts w:ascii="Times New Roman" w:hAnsi="Times New Roman" w:cs="Times"/>
        </w:rPr>
        <w:t>gers. Autrement dit, chaque localité a son totem particulier. Jusqu'à des temps récents, ce mode d'organisation n'avait été rencon</w:t>
      </w:r>
      <w:r w:rsidRPr="009A6BD2">
        <w:rPr>
          <w:rFonts w:ascii="Times" w:hAnsi="Times" w:cs="Times"/>
        </w:rPr>
        <w:softHyphen/>
      </w:r>
      <w:r w:rsidRPr="009A6BD2">
        <w:rPr>
          <w:rFonts w:ascii="Times New Roman" w:hAnsi="Times New Roman" w:cs="Times"/>
        </w:rPr>
        <w:t>tré, en Australie, que dans des tribus où le totémisme est en voie de décadence, par exemple chez les Narrinyeri, où le totem</w:t>
      </w:r>
      <w:r w:rsidRPr="009A6BD2">
        <w:rPr>
          <w:rFonts w:ascii="Times New Roman" w:hAnsi="Times New Roman" w:cs="Times"/>
        </w:rPr>
        <w:t xml:space="preserve"> n'a presque plus de caractère religieux </w:t>
      </w:r>
      <w:r w:rsidRPr="009A6BD2">
        <w:rPr>
          <w:rStyle w:val="Rimandonotaapidipagina"/>
          <w:rFonts w:ascii="Times" w:hAnsi="Times" w:cs="Times"/>
        </w:rPr>
        <w:footnoteReference w:id="25"/>
      </w:r>
      <w:r w:rsidRPr="009A6BD2">
        <w:rPr>
          <w:rFonts w:ascii="Times New Roman" w:hAnsi="Times New Roman" w:cs="Times"/>
        </w:rPr>
        <w:t>. On était donc fondé à croire qu'il y avait un rapport étroit entre le système totémique et la filiation en ligne utérine. Mais Spencer et Gillen ont observé, dans la partie septentrionale du centre australien, to</w:t>
      </w:r>
      <w:r w:rsidRPr="009A6BD2">
        <w:rPr>
          <w:rFonts w:ascii="Times New Roman" w:hAnsi="Times New Roman" w:cs="Times"/>
        </w:rPr>
        <w:t>ut un groupe de tribus où la religion totémique est encore pratiquée et où pourtant la transmission du totem se fait en ligne paternelle : ce sont les Warramunga, les Gnanji, les Umbaia, les Binbinga, les Mara, et les Anula </w:t>
      </w:r>
      <w:r w:rsidRPr="009A6BD2">
        <w:rPr>
          <w:rStyle w:val="Rimandonotaapidipagina"/>
          <w:rFonts w:ascii="Times" w:hAnsi="Times" w:cs="Times"/>
        </w:rPr>
        <w:footnoteReference w:id="26"/>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Enfin, une troisième combina</w:t>
      </w:r>
      <w:r w:rsidRPr="009A6BD2">
        <w:rPr>
          <w:rFonts w:ascii="Times New Roman" w:hAnsi="Times New Roman" w:cs="Times"/>
        </w:rPr>
        <w:t>ison est celle que l'on observe chez les Arunta et les Loritja. Ici, le totem de l'enfant n'est nécessairement ni celui de sa mère ni celui de son père ; c'est celui de l'ancêtre mythique qui, par des procédés que les observateurs nous rapportent de manièr</w:t>
      </w:r>
      <w:r w:rsidRPr="009A6BD2">
        <w:rPr>
          <w:rFonts w:ascii="Times New Roman" w:hAnsi="Times New Roman" w:cs="Times"/>
        </w:rPr>
        <w:t>es différentes </w:t>
      </w:r>
      <w:r w:rsidRPr="009A6BD2">
        <w:rPr>
          <w:rStyle w:val="Rimandonotaapidipagina"/>
          <w:rFonts w:ascii="Times" w:hAnsi="Times" w:cs="Times"/>
        </w:rPr>
        <w:footnoteReference w:id="27"/>
      </w:r>
      <w:r w:rsidRPr="009A6BD2">
        <w:rPr>
          <w:rFonts w:ascii="Times New Roman" w:hAnsi="Times New Roman" w:cs="Times"/>
        </w:rPr>
        <w:t xml:space="preserve">, est venu féconder mystiquement la mère au moment de la </w:t>
      </w:r>
      <w:r w:rsidRPr="009A6BD2">
        <w:rPr>
          <w:rFonts w:ascii="Times New Roman" w:hAnsi="Times New Roman" w:cs="Times"/>
        </w:rPr>
        <w:lastRenderedPageBreak/>
        <w:t>conception. Une technique déterminée permet de reconnaître quel est cet ancêtre et à quel groupe totémi</w:t>
      </w:r>
      <w:r w:rsidRPr="009A6BD2">
        <w:rPr>
          <w:rFonts w:ascii="Times" w:hAnsi="Times" w:cs="Times"/>
        </w:rPr>
        <w:softHyphen/>
      </w:r>
      <w:r w:rsidRPr="009A6BD2">
        <w:rPr>
          <w:rFonts w:ascii="Times New Roman" w:hAnsi="Times New Roman" w:cs="Times"/>
        </w:rPr>
        <w:t>que il appartient </w:t>
      </w:r>
      <w:r w:rsidRPr="009A6BD2">
        <w:rPr>
          <w:rStyle w:val="Rimandonotaapidipagina"/>
          <w:rFonts w:ascii="Times" w:hAnsi="Times" w:cs="Times"/>
        </w:rPr>
        <w:footnoteReference w:id="28"/>
      </w:r>
      <w:r w:rsidRPr="009A6BD2">
        <w:rPr>
          <w:rFonts w:ascii="Times New Roman" w:hAnsi="Times New Roman" w:cs="Times"/>
        </w:rPr>
        <w:t>. Mais, comme c'est le hasard qui fait que tel ancêtre s'est</w:t>
      </w:r>
      <w:r w:rsidRPr="009A6BD2">
        <w:rPr>
          <w:rFonts w:ascii="Times New Roman" w:hAnsi="Times New Roman" w:cs="Times"/>
        </w:rPr>
        <w:t xml:space="preserve"> trouvé à proxi</w:t>
      </w:r>
      <w:r w:rsidRPr="009A6BD2">
        <w:rPr>
          <w:rFonts w:ascii="Times" w:hAnsi="Times" w:cs="Times"/>
        </w:rPr>
        <w:softHyphen/>
      </w:r>
      <w:r w:rsidRPr="009A6BD2">
        <w:rPr>
          <w:rFonts w:ascii="Times New Roman" w:hAnsi="Times New Roman" w:cs="Times"/>
        </w:rPr>
        <w:t>mité de la mère plutôt que tel autre, le totem de l'enfant se trouve finalement dépendre de circonstances fortuites </w:t>
      </w:r>
      <w:r w:rsidRPr="009A6BD2">
        <w:rPr>
          <w:rStyle w:val="Rimandonotaapidipagina"/>
          <w:rFonts w:ascii="Times" w:hAnsi="Times" w:cs="Times"/>
        </w:rPr>
        <w:footnoteReference w:id="2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dehors et au-dessus des totems de clans, il y a les totems de phratries qui, sans différer en nature des premiers, d</w:t>
      </w:r>
      <w:r w:rsidRPr="009A6BD2">
        <w:rPr>
          <w:rFonts w:ascii="Times New Roman" w:hAnsi="Times New Roman" w:cs="Times"/>
        </w:rPr>
        <w:t>emandent pourtant à en être distingués.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appelle phratrie un groupe de clans qui sont unis entre eux par des liens particuliers de fraternité. Normalement, une tribu australienne est divisée en deux phratries entre lesquelles sont répartis les différent</w:t>
      </w:r>
      <w:r w:rsidRPr="009A6BD2">
        <w:rPr>
          <w:rFonts w:ascii="Times New Roman" w:hAnsi="Times New Roman" w:cs="Times"/>
        </w:rPr>
        <w:t>s clans. Il y a, sans doute, des sociétés où cette organisation a disparu ; mais tout fait croire qu'elle a été générale. En tout cas, il n'existe pas, en Australie, de tribu où le nombre des phratries soit supérieur à deux.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Or, dans presque tous les cas </w:t>
      </w:r>
      <w:r w:rsidRPr="009A6BD2">
        <w:rPr>
          <w:rFonts w:ascii="Times New Roman" w:hAnsi="Times New Roman" w:cs="Times"/>
        </w:rPr>
        <w:t>où les phratries portent un nom dont le sens a pu être établi, ce nom se trouve être celui d'un animal ; c'est donc, semble-t-il, un totem. C'est ce qu'a bien démontré A. Lang dans un récent ouvrage </w:t>
      </w:r>
      <w:r w:rsidRPr="009A6BD2">
        <w:rPr>
          <w:rStyle w:val="Rimandonotaapidipagina"/>
          <w:rFonts w:ascii="Times" w:hAnsi="Times" w:cs="Times"/>
        </w:rPr>
        <w:footnoteReference w:id="30"/>
      </w:r>
      <w:r w:rsidRPr="009A6BD2">
        <w:rPr>
          <w:rFonts w:ascii="Times New Roman" w:hAnsi="Times New Roman" w:cs="Times"/>
        </w:rPr>
        <w:t>. Ainsi, chez les Gournditch-Mara (Victoria), les phratr</w:t>
      </w:r>
      <w:r w:rsidRPr="009A6BD2">
        <w:rPr>
          <w:rFonts w:ascii="Times New Roman" w:hAnsi="Times New Roman" w:cs="Times"/>
        </w:rPr>
        <w:t>ies s'appellent l'une Krokitch et l'autre Kaputch; le premier de ces mots signifie kakatoès blanc, le second, kakatoès noir </w:t>
      </w:r>
      <w:r w:rsidRPr="009A6BD2">
        <w:rPr>
          <w:rStyle w:val="Rimandonotaapidipagina"/>
          <w:rFonts w:ascii="Times" w:hAnsi="Times" w:cs="Times"/>
        </w:rPr>
        <w:footnoteReference w:id="31"/>
      </w:r>
      <w:r w:rsidRPr="009A6BD2">
        <w:rPr>
          <w:rFonts w:ascii="Times New Roman" w:hAnsi="Times New Roman" w:cs="Times"/>
        </w:rPr>
        <w:t>. Les mêmes expressions se retrouvent, en totalité ou en partie, chez les Buandik et les Wotjobaluk </w:t>
      </w:r>
      <w:r w:rsidRPr="009A6BD2">
        <w:rPr>
          <w:rStyle w:val="Rimandonotaapidipagina"/>
          <w:rFonts w:ascii="Times" w:hAnsi="Times" w:cs="Times"/>
        </w:rPr>
        <w:footnoteReference w:id="32"/>
      </w:r>
      <w:r w:rsidRPr="009A6BD2">
        <w:rPr>
          <w:rFonts w:ascii="Times New Roman" w:hAnsi="Times New Roman" w:cs="Times"/>
        </w:rPr>
        <w:t>. Chez les Wurunjerri, les nom</w:t>
      </w:r>
      <w:r w:rsidRPr="009A6BD2">
        <w:rPr>
          <w:rFonts w:ascii="Times New Roman" w:hAnsi="Times New Roman" w:cs="Times"/>
        </w:rPr>
        <w:t>s employés sont ceux de Bunfil et de Waang qui veulent dire aigle-faucon et corbeau </w:t>
      </w:r>
      <w:r w:rsidRPr="009A6BD2">
        <w:rPr>
          <w:rStyle w:val="Rimandonotaapidipagina"/>
          <w:rFonts w:ascii="Times" w:hAnsi="Times" w:cs="Times"/>
        </w:rPr>
        <w:footnoteReference w:id="33"/>
      </w:r>
      <w:r w:rsidRPr="009A6BD2">
        <w:rPr>
          <w:rFonts w:ascii="Times New Roman" w:hAnsi="Times New Roman" w:cs="Times"/>
        </w:rPr>
        <w:t>. Les mots de Mukwara et de Kilpara sont usités pour le même objet dans un grand nombre de tribus de la Nouvelles Galles du Sud </w:t>
      </w:r>
      <w:r w:rsidRPr="009A6BD2">
        <w:rPr>
          <w:rStyle w:val="Rimandonotaapidipagina"/>
          <w:rFonts w:ascii="Times" w:hAnsi="Times" w:cs="Times"/>
        </w:rPr>
        <w:footnoteReference w:id="34"/>
      </w:r>
      <w:r w:rsidRPr="009A6BD2">
        <w:rPr>
          <w:rFonts w:ascii="Times New Roman" w:hAnsi="Times New Roman" w:cs="Times"/>
        </w:rPr>
        <w:t xml:space="preserve"> ; ils désignent les mêmes animaux </w:t>
      </w:r>
      <w:r w:rsidRPr="009A6BD2">
        <w:rPr>
          <w:rStyle w:val="Rimandonotaapidipagina"/>
          <w:rFonts w:ascii="Times" w:hAnsi="Times" w:cs="Times"/>
        </w:rPr>
        <w:footnoteReference w:id="35"/>
      </w:r>
      <w:r w:rsidRPr="009A6BD2">
        <w:rPr>
          <w:rFonts w:ascii="Times New Roman" w:hAnsi="Times New Roman" w:cs="Times"/>
        </w:rPr>
        <w:t>. C'es</w:t>
      </w:r>
      <w:r w:rsidRPr="009A6BD2">
        <w:rPr>
          <w:rFonts w:ascii="Times New Roman" w:hAnsi="Times New Roman" w:cs="Times"/>
        </w:rPr>
        <w:t>t également l'aigle-faucon et le corbeau qui ont donné leurs noms aux deux phratries des Ngarigo, des Wolgal </w:t>
      </w:r>
      <w:r w:rsidRPr="009A6BD2">
        <w:rPr>
          <w:rStyle w:val="Rimandonotaapidipagina"/>
          <w:rFonts w:ascii="Times" w:hAnsi="Times" w:cs="Times"/>
        </w:rPr>
        <w:footnoteReference w:id="36"/>
      </w:r>
      <w:r w:rsidRPr="009A6BD2">
        <w:rPr>
          <w:rFonts w:ascii="Times New Roman" w:hAnsi="Times New Roman" w:cs="Times"/>
        </w:rPr>
        <w:t>. Chez les Kuinmurbura, c'est le kakatoès blanc et le corbeau </w:t>
      </w:r>
      <w:r w:rsidRPr="009A6BD2">
        <w:rPr>
          <w:rStyle w:val="Rimandonotaapidipagina"/>
          <w:rFonts w:ascii="Times" w:hAnsi="Times" w:cs="Times"/>
        </w:rPr>
        <w:footnoteReference w:id="37"/>
      </w:r>
      <w:r w:rsidRPr="009A6BD2">
        <w:rPr>
          <w:rFonts w:ascii="Times New Roman" w:hAnsi="Times New Roman" w:cs="Times"/>
        </w:rPr>
        <w:t>. On pourrait citer d'autres exemples. On en vient ainsi à voir dans la phratrie un</w:t>
      </w:r>
      <w:r w:rsidRPr="009A6BD2">
        <w:rPr>
          <w:rFonts w:ascii="Times New Roman" w:hAnsi="Times New Roman" w:cs="Times"/>
        </w:rPr>
        <w:t xml:space="preserve"> ancien clan qui se serait démembré; les clans actuels seraient le produit de ce démembrement, et la solidarité qui les unit, un souvenir </w:t>
      </w:r>
      <w:r w:rsidRPr="009A6BD2">
        <w:rPr>
          <w:rFonts w:ascii="Times New Roman" w:hAnsi="Times New Roman" w:cs="Times"/>
        </w:rPr>
        <w:lastRenderedPageBreak/>
        <w:t>de leur primitive unité </w:t>
      </w:r>
      <w:r w:rsidRPr="009A6BD2">
        <w:rPr>
          <w:rStyle w:val="Rimandonotaapidipagina"/>
          <w:rFonts w:ascii="Times" w:hAnsi="Times" w:cs="Times"/>
        </w:rPr>
        <w:footnoteReference w:id="38"/>
      </w:r>
      <w:r w:rsidRPr="009A6BD2">
        <w:rPr>
          <w:rFonts w:ascii="Times New Roman" w:hAnsi="Times New Roman" w:cs="Times"/>
        </w:rPr>
        <w:t>. Il est vrai que, dans certaines tribus, les phratries n'ont plus, semble-t-il, de noms déte</w:t>
      </w:r>
      <w:r w:rsidRPr="009A6BD2">
        <w:rPr>
          <w:rFonts w:ascii="Times New Roman" w:hAnsi="Times New Roman" w:cs="Times"/>
        </w:rPr>
        <w:t>rminés ; dans d'autres, où ces noms existent, le sens n'en est plus connu même des indigènes. Mais il n'y a rien là qui puisse surprendre. Les phratries sont certaine</w:t>
      </w:r>
      <w:r w:rsidRPr="009A6BD2">
        <w:rPr>
          <w:rFonts w:ascii="Times" w:hAnsi="Times" w:cs="Times"/>
        </w:rPr>
        <w:softHyphen/>
      </w:r>
      <w:r w:rsidRPr="009A6BD2">
        <w:rPr>
          <w:rFonts w:ascii="Times New Roman" w:hAnsi="Times New Roman" w:cs="Times"/>
        </w:rPr>
        <w:t>ment une institution primitive, car elles sont partout en voie de régression ; ce sont le</w:t>
      </w:r>
      <w:r w:rsidRPr="009A6BD2">
        <w:rPr>
          <w:rFonts w:ascii="Times New Roman" w:hAnsi="Times New Roman" w:cs="Times"/>
        </w:rPr>
        <w:t xml:space="preserve">s clans, issus d'elles, qui sont passés au premier plan. Il est donc naturel que les noms qu'elles portaient se soient peu à peu effacés des mémoires, ou qu'on ait cessé de les comprendre ; car ils devaient appartenir à une langue très archaïque qui n'est </w:t>
      </w:r>
      <w:r w:rsidRPr="009A6BD2">
        <w:rPr>
          <w:rFonts w:ascii="Times New Roman" w:hAnsi="Times New Roman" w:cs="Times"/>
        </w:rPr>
        <w:t>plus en usage. Ce qui le prouve, c'est que, dans plusieurs cas où nous savons de quel animal la phratrie porte le nom, le mot qui désigne cet animal dans la langue courante est entièrement différent de celui qui sert à la dénommer </w:t>
      </w:r>
      <w:r w:rsidRPr="009A6BD2">
        <w:rPr>
          <w:rStyle w:val="Rimandonotaapidipagina"/>
          <w:rFonts w:ascii="Times" w:hAnsi="Times" w:cs="Times"/>
        </w:rPr>
        <w:footnoteReference w:id="3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Entre le totem de la </w:t>
      </w:r>
      <w:r w:rsidRPr="009A6BD2">
        <w:rPr>
          <w:rFonts w:ascii="Times New Roman" w:hAnsi="Times New Roman" w:cs="Times"/>
        </w:rPr>
        <w:t xml:space="preserve">phratrie et les totems des clans, il existe comme un rapport de subordination. En effet, chaque clan, en principe, appartient à une phratrie et à une seule; il est tout à fait exceptionnel qu'il compte des représentants dans l'autre phratrie. Le cas ne se </w:t>
      </w:r>
      <w:r w:rsidRPr="009A6BD2">
        <w:rPr>
          <w:rFonts w:ascii="Times New Roman" w:hAnsi="Times New Roman" w:cs="Times"/>
        </w:rPr>
        <w:t>rencontre guère que dans certaines tribus du centre, notamment chez les Arunta </w:t>
      </w:r>
      <w:r w:rsidRPr="009A6BD2">
        <w:rPr>
          <w:rStyle w:val="Rimandonotaapidipagina"/>
          <w:rFonts w:ascii="Times" w:hAnsi="Times" w:cs="Times"/>
        </w:rPr>
        <w:footnoteReference w:id="40"/>
      </w:r>
      <w:r w:rsidRPr="009A6BD2">
        <w:rPr>
          <w:rFonts w:ascii="Times New Roman" w:hAnsi="Times New Roman" w:cs="Times"/>
        </w:rPr>
        <w:t xml:space="preserve"> ; encore, même là où, sous des influences perturbatrices, il se produit des chevauchements de ce genre, le gros du clan est tout entier compris dans une des deux moitiés de la</w:t>
      </w:r>
      <w:r w:rsidRPr="009A6BD2">
        <w:rPr>
          <w:rFonts w:ascii="Times New Roman" w:hAnsi="Times New Roman" w:cs="Times"/>
        </w:rPr>
        <w:t xml:space="preserve"> tribu; seule, une minorité se trouve de l'autre côté </w:t>
      </w:r>
      <w:r w:rsidRPr="009A6BD2">
        <w:rPr>
          <w:rStyle w:val="Rimandonotaapidipagina"/>
          <w:rFonts w:ascii="Times" w:hAnsi="Times" w:cs="Times"/>
        </w:rPr>
        <w:footnoteReference w:id="41"/>
      </w:r>
      <w:r w:rsidRPr="009A6BD2">
        <w:rPr>
          <w:rFonts w:ascii="Times New Roman" w:hAnsi="Times New Roman" w:cs="Times"/>
        </w:rPr>
        <w:t>. La règle est donc que les deux phratries ne se pénètrent pas ; par suite, le cercle des totems que peut porter un individu est prédéterminé par la phratrie à laquelle il appartient. Autrement dit, le</w:t>
      </w:r>
      <w:r w:rsidRPr="009A6BD2">
        <w:rPr>
          <w:rFonts w:ascii="Times New Roman" w:hAnsi="Times New Roman" w:cs="Times"/>
        </w:rPr>
        <w:t xml:space="preserve"> totem de la phratrie est comme un genre dont les totems des clans sont des espèces. Nous verrons plus loin que ce rapprochement n'est pas purement métaphorique.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Outre les phratries et les clans, on trouve souvent dans les sociétés australiennes un autr</w:t>
      </w:r>
      <w:r w:rsidRPr="009A6BD2">
        <w:rPr>
          <w:rFonts w:ascii="Times New Roman" w:hAnsi="Times New Roman" w:cs="Times"/>
        </w:rPr>
        <w:t>e groupe secondaire qui n'est pas sans avoir une certaine individualité : ce sont les classes matri</w:t>
      </w:r>
      <w:r w:rsidRPr="009A6BD2">
        <w:rPr>
          <w:rFonts w:ascii="Times" w:hAnsi="Times" w:cs="Times"/>
        </w:rPr>
        <w:softHyphen/>
      </w:r>
      <w:r w:rsidRPr="009A6BD2">
        <w:rPr>
          <w:rFonts w:ascii="Times New Roman" w:hAnsi="Times New Roman" w:cs="Times"/>
        </w:rPr>
        <w:t>mo</w:t>
      </w:r>
      <w:r w:rsidRPr="009A6BD2">
        <w:rPr>
          <w:rFonts w:ascii="Times" w:hAnsi="Times" w:cs="Times"/>
        </w:rPr>
        <w:softHyphen/>
      </w:r>
      <w:r w:rsidRPr="009A6BD2">
        <w:rPr>
          <w:rFonts w:ascii="Times New Roman" w:hAnsi="Times New Roman" w:cs="Times"/>
        </w:rPr>
        <w:t>niales.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lastRenderedPageBreak/>
        <w:t xml:space="preserve">On appelle de ce nom des subdivisions de la phratrie qui sont en nombre variable suivant les tribus : on en trouve tantôt deux et tantôt quatre </w:t>
      </w:r>
      <w:r w:rsidRPr="009A6BD2">
        <w:rPr>
          <w:rFonts w:ascii="Times New Roman" w:hAnsi="Times New Roman" w:cs="Times"/>
        </w:rPr>
        <w:t>par phratrie </w:t>
      </w:r>
      <w:r w:rsidRPr="009A6BD2">
        <w:rPr>
          <w:rStyle w:val="Rimandonotaapidipagina"/>
          <w:rFonts w:ascii="Times" w:hAnsi="Times" w:cs="Times"/>
        </w:rPr>
        <w:footnoteReference w:id="42"/>
      </w:r>
      <w:r w:rsidRPr="009A6BD2">
        <w:rPr>
          <w:rFonts w:ascii="Times New Roman" w:hAnsi="Times New Roman" w:cs="Times"/>
        </w:rPr>
        <w:t>. Leur recrutement et leur fonctionnement sont réglés parles deux principes suivants. 1º Dans chaque phratrie, chaque génération appartient à une autre classe que la génération immédiatement précédente. Quand donc il n'y a que deux classes pa</w:t>
      </w:r>
      <w:r w:rsidRPr="009A6BD2">
        <w:rPr>
          <w:rFonts w:ascii="Times New Roman" w:hAnsi="Times New Roman" w:cs="Times"/>
        </w:rPr>
        <w:t>r phratrie, elles alternent nécessairement l'une avec l'autre à chaque génération. Les enfants sont de la classe dont leurs parents ne font pas partie ; mais les petits-enfants sont de la même que leurs grands-parents. Ainsi, chez les Kamilaroi la phratrie</w:t>
      </w:r>
      <w:r w:rsidRPr="009A6BD2">
        <w:rPr>
          <w:rFonts w:ascii="Times New Roman" w:hAnsi="Times New Roman" w:cs="Times"/>
        </w:rPr>
        <w:t xml:space="preserve"> Kupathin comprend deux classes, Ippai et Kumbo ; la phratrie Dilbi, deux autres qui s'appellent Murri et Kubbi. Comme la filiation se fait en ligne utérine, l'enfant est de la phratrie de sa mère; si elle est une Kupathin, il sera lui-même un Kupathin. Ma</w:t>
      </w:r>
      <w:r w:rsidRPr="009A6BD2">
        <w:rPr>
          <w:rFonts w:ascii="Times New Roman" w:hAnsi="Times New Roman" w:cs="Times"/>
        </w:rPr>
        <w:t xml:space="preserve">is si elle est de la classe Ippai, il sera un Kumbo ; puis ses enfants, s'il est une fille, compteront de nouveau dans la classe Ippai. De même, les enfants des femmes de la classe Murri seront de la classe Kubbi, et les enfants des femmes de Kubbi seront </w:t>
      </w:r>
      <w:r w:rsidRPr="009A6BD2">
        <w:rPr>
          <w:rFonts w:ascii="Times New Roman" w:hAnsi="Times New Roman" w:cs="Times"/>
        </w:rPr>
        <w:t>des Murri de nouveau. Quand il y a quatre classes par phratrie, au lieu de deux, le système est plus complexe, mais le principe est le même. Ces quatre classes, en effet, forment deux couples de deux classes chacun, et ces deux classes alternent l'une avec</w:t>
      </w:r>
      <w:r w:rsidRPr="009A6BD2">
        <w:rPr>
          <w:rFonts w:ascii="Times New Roman" w:hAnsi="Times New Roman" w:cs="Times"/>
        </w:rPr>
        <w:t xml:space="preserve"> l'autre, à chaque génération, de la manière qui vient d'être indiquée. 2º Les membres d'une classe ne peuvent, en principe </w:t>
      </w:r>
      <w:r w:rsidRPr="009A6BD2">
        <w:rPr>
          <w:rStyle w:val="Rimandonotaapidipagina"/>
          <w:rFonts w:ascii="Times" w:hAnsi="Times" w:cs="Times"/>
        </w:rPr>
        <w:footnoteReference w:id="43"/>
      </w:r>
      <w:r w:rsidRPr="009A6BD2">
        <w:rPr>
          <w:rFonts w:ascii="Times New Roman" w:hAnsi="Times New Roman" w:cs="Times"/>
        </w:rPr>
        <w:t>, contracter mariage que dans une seule des classes de l'autre phratrie. Les Ippai doivent se marier dans la classe Kubbi; les Murr</w:t>
      </w:r>
      <w:r w:rsidRPr="009A6BD2">
        <w:rPr>
          <w:rFonts w:ascii="Times New Roman" w:hAnsi="Times New Roman" w:cs="Times"/>
        </w:rPr>
        <w:t>i, dans la classe Kumbo. C'est parce que cette organisation affecte profondément les rapports matrimoniaux que nous donnons à ces groupements le nom de classes matrimo</w:t>
      </w:r>
      <w:r w:rsidRPr="009A6BD2">
        <w:rPr>
          <w:rFonts w:ascii="Times" w:hAnsi="Times" w:cs="Times"/>
        </w:rPr>
        <w:softHyphen/>
      </w:r>
      <w:r w:rsidRPr="009A6BD2">
        <w:rPr>
          <w:rFonts w:ascii="Times New Roman" w:hAnsi="Times New Roman" w:cs="Times"/>
        </w:rPr>
        <w:t>niales.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Or, on s'est demandé si ces classes n'avaient pas parfois des totems comme les </w:t>
      </w:r>
      <w:r w:rsidRPr="009A6BD2">
        <w:rPr>
          <w:rFonts w:ascii="Times New Roman" w:hAnsi="Times New Roman" w:cs="Times"/>
        </w:rPr>
        <w:t>phratries et comme les clans.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qui a posé la question, c'est que, dans certaines tribus du Queensland, chaque classe matrimoniale est soumise à des interdictions alimentaires qui lui sont spéciales. Les individus qui la composent doivent s'abstenir de l</w:t>
      </w:r>
      <w:r w:rsidRPr="009A6BD2">
        <w:rPr>
          <w:rFonts w:ascii="Times New Roman" w:hAnsi="Times New Roman" w:cs="Times"/>
        </w:rPr>
        <w:t>a chair de certains animaux que les autres classes peuvent librement consommer </w:t>
      </w:r>
      <w:r w:rsidRPr="009A6BD2">
        <w:rPr>
          <w:rStyle w:val="Rimandonotaapidipagina"/>
          <w:rFonts w:ascii="Times" w:hAnsi="Times" w:cs="Times"/>
        </w:rPr>
        <w:footnoteReference w:id="44"/>
      </w:r>
      <w:r w:rsidRPr="009A6BD2">
        <w:rPr>
          <w:rFonts w:ascii="Times New Roman" w:hAnsi="Times New Roman" w:cs="Times"/>
        </w:rPr>
        <w:t>. Ces animaux ne seraient-ils pas des totems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l'interdiction alimentaire n'est pas le signe caractéristique du totémisme. Le totem est, d'abord et avant tout, un nom, et</w:t>
      </w:r>
      <w:r w:rsidRPr="009A6BD2">
        <w:rPr>
          <w:rFonts w:ascii="Times New Roman" w:hAnsi="Times New Roman" w:cs="Times"/>
        </w:rPr>
        <w:t xml:space="preserve"> comme nous le verrons, un emblème. Or, dans les sociétés dont il vient d'être question, il n'existe pas de classe matrimoniale qui porte un nom d'animal ou de plante ou qui se serve d'un emblème </w:t>
      </w:r>
      <w:r w:rsidRPr="009A6BD2">
        <w:rPr>
          <w:rStyle w:val="Rimandonotaapidipagina"/>
          <w:rFonts w:ascii="Times" w:hAnsi="Times" w:cs="Times"/>
        </w:rPr>
        <w:footnoteReference w:id="45"/>
      </w:r>
      <w:r w:rsidRPr="009A6BD2">
        <w:rPr>
          <w:rFonts w:ascii="Times New Roman" w:hAnsi="Times New Roman" w:cs="Times"/>
        </w:rPr>
        <w:t xml:space="preserve">. Il est possible, sans doute, que ces </w:t>
      </w:r>
      <w:r w:rsidRPr="009A6BD2">
        <w:rPr>
          <w:rFonts w:ascii="Times New Roman" w:hAnsi="Times New Roman" w:cs="Times"/>
        </w:rPr>
        <w:lastRenderedPageBreak/>
        <w:t xml:space="preserve">prohibitions soient </w:t>
      </w:r>
      <w:r w:rsidRPr="009A6BD2">
        <w:rPr>
          <w:rFonts w:ascii="Times New Roman" w:hAnsi="Times New Roman" w:cs="Times"/>
        </w:rPr>
        <w:t>indirectement dérivées du totémisme. On peut supposer que les animaux que protègent ces interdits servaient primitivement de totems à des clans qui auraient disparu, tandis que les classes matrimoniales se seraient maintenues. Il est certain, en effet, qu'</w:t>
      </w:r>
      <w:r w:rsidRPr="009A6BD2">
        <w:rPr>
          <w:rFonts w:ascii="Times New Roman" w:hAnsi="Times New Roman" w:cs="Times"/>
        </w:rPr>
        <w:t>elles ont parfois une force de résistance que n'ont pas les clans. Par suite, les interdictions, destituées de leurs supports primitifs, se seraient généralisées dans l'étendue de chaque classe, puisqu'il n'existait plus d'autres groupements auxquels elles</w:t>
      </w:r>
      <w:r w:rsidRPr="009A6BD2">
        <w:rPr>
          <w:rFonts w:ascii="Times New Roman" w:hAnsi="Times New Roman" w:cs="Times"/>
        </w:rPr>
        <w:t xml:space="preserve"> pussent se rattacher. Mais on voit que, si cette réglementation est née du totémisme, elle n'en représente plus qu'une forme affaiblie et dénaturée </w:t>
      </w:r>
      <w:r w:rsidRPr="009A6BD2">
        <w:rPr>
          <w:rStyle w:val="Rimandonotaapidipagina"/>
          <w:rFonts w:ascii="Times" w:hAnsi="Times" w:cs="Times"/>
        </w:rPr>
        <w:footnoteReference w:id="46"/>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Tout ce qui vient d'être dit du totem dans les sociétés australiennes S'applique aux tribus indiennes d</w:t>
      </w:r>
      <w:r w:rsidRPr="009A6BD2">
        <w:rPr>
          <w:rFonts w:ascii="Times New Roman" w:hAnsi="Times New Roman" w:cs="Times"/>
        </w:rPr>
        <w:t>e l'Amérique du Nord. Toute la différence est que, chez ces dernières, l'organi</w:t>
      </w:r>
      <w:r w:rsidRPr="009A6BD2">
        <w:rPr>
          <w:rFonts w:ascii="Times" w:hAnsi="Times" w:cs="Times"/>
        </w:rPr>
        <w:softHyphen/>
      </w:r>
      <w:r w:rsidRPr="009A6BD2">
        <w:rPr>
          <w:rFonts w:ascii="Times New Roman" w:hAnsi="Times New Roman" w:cs="Times"/>
        </w:rPr>
        <w:t>sation totémique a une fermeté de contours et une stabilité qui lui font défaut en Australie. Les clans australiens ne sont pas simplement très nombreux ; ils sont, pour une mê</w:t>
      </w:r>
      <w:r w:rsidRPr="009A6BD2">
        <w:rPr>
          <w:rFonts w:ascii="Times New Roman" w:hAnsi="Times New Roman" w:cs="Times"/>
        </w:rPr>
        <w:t>me tribu, en nombre presque illimité. Les observateurs en citent quelques-uns à titre d'exemples, mais sans réussir jamais à nous en donner une liste complète. C'est qu'à aucun moment cette liste n'est définitivement arrêtée. Le même processus de segmentat</w:t>
      </w:r>
      <w:r w:rsidRPr="009A6BD2">
        <w:rPr>
          <w:rFonts w:ascii="Times New Roman" w:hAnsi="Times New Roman" w:cs="Times"/>
        </w:rPr>
        <w:t>ion qui a démembré primiti</w:t>
      </w:r>
      <w:r w:rsidRPr="009A6BD2">
        <w:rPr>
          <w:rFonts w:ascii="Times" w:hAnsi="Times" w:cs="Times"/>
        </w:rPr>
        <w:softHyphen/>
      </w:r>
      <w:r w:rsidRPr="009A6BD2">
        <w:rPr>
          <w:rFonts w:ascii="Times New Roman" w:hAnsi="Times New Roman" w:cs="Times"/>
        </w:rPr>
        <w:t>vement la phratrie et qui a donné naissance aux clans proprement dits, se continue sans terme à l'intérieur de ces derniers ; par suite de cet émiettement progressif, un clan n'a souvent qu'un effectif des plus réduits </w:t>
      </w:r>
      <w:r w:rsidRPr="009A6BD2">
        <w:rPr>
          <w:rStyle w:val="Rimandonotaapidipagina"/>
          <w:rFonts w:ascii="Times" w:hAnsi="Times" w:cs="Times"/>
        </w:rPr>
        <w:footnoteReference w:id="47"/>
      </w:r>
      <w:r w:rsidRPr="009A6BD2">
        <w:rPr>
          <w:rFonts w:ascii="Times New Roman" w:hAnsi="Times New Roman" w:cs="Times"/>
        </w:rPr>
        <w:t>. En Amér</w:t>
      </w:r>
      <w:r w:rsidRPr="009A6BD2">
        <w:rPr>
          <w:rFonts w:ascii="Times New Roman" w:hAnsi="Times New Roman" w:cs="Times"/>
        </w:rPr>
        <w:t>ique, au contraire, le système totémi</w:t>
      </w:r>
      <w:r w:rsidRPr="009A6BD2">
        <w:rPr>
          <w:rFonts w:ascii="Times" w:hAnsi="Times" w:cs="Times"/>
        </w:rPr>
        <w:softHyphen/>
      </w:r>
      <w:r w:rsidRPr="009A6BD2">
        <w:rPr>
          <w:rFonts w:ascii="Times New Roman" w:hAnsi="Times New Roman" w:cs="Times"/>
        </w:rPr>
        <w:t>que a des for</w:t>
      </w:r>
      <w:r w:rsidRPr="009A6BD2">
        <w:rPr>
          <w:rFonts w:ascii="Times" w:hAnsi="Times" w:cs="Times"/>
        </w:rPr>
        <w:softHyphen/>
      </w:r>
      <w:r w:rsidRPr="009A6BD2">
        <w:rPr>
          <w:rFonts w:ascii="Times New Roman" w:hAnsi="Times New Roman" w:cs="Times"/>
        </w:rPr>
        <w:t>mes mieux définies. Bien que les tribus y soient, en moyenne, sensible</w:t>
      </w:r>
      <w:r w:rsidRPr="009A6BD2">
        <w:rPr>
          <w:rFonts w:ascii="Times" w:hAnsi="Times" w:cs="Times"/>
        </w:rPr>
        <w:softHyphen/>
      </w:r>
      <w:r w:rsidRPr="009A6BD2">
        <w:rPr>
          <w:rFonts w:ascii="Times New Roman" w:hAnsi="Times New Roman" w:cs="Times"/>
        </w:rPr>
        <w:t>ment plus volumi</w:t>
      </w:r>
      <w:r w:rsidRPr="009A6BD2">
        <w:rPr>
          <w:rFonts w:ascii="Times" w:hAnsi="Times" w:cs="Times"/>
        </w:rPr>
        <w:softHyphen/>
      </w:r>
      <w:r w:rsidRPr="009A6BD2">
        <w:rPr>
          <w:rFonts w:ascii="Times New Roman" w:hAnsi="Times New Roman" w:cs="Times"/>
        </w:rPr>
        <w:t>neuses qu'en Australie, les clans y sont moins nombreux. Une même tribu en compte rare</w:t>
      </w:r>
      <w:r w:rsidRPr="009A6BD2">
        <w:rPr>
          <w:rFonts w:ascii="Times" w:hAnsi="Times" w:cs="Times"/>
        </w:rPr>
        <w:softHyphen/>
      </w:r>
      <w:r w:rsidRPr="009A6BD2">
        <w:rPr>
          <w:rFonts w:ascii="Times New Roman" w:hAnsi="Times New Roman" w:cs="Times"/>
        </w:rPr>
        <w:lastRenderedPageBreak/>
        <w:t>ment plus d'une dizaine </w:t>
      </w:r>
      <w:r w:rsidRPr="009A6BD2">
        <w:rPr>
          <w:rStyle w:val="Rimandonotaapidipagina"/>
          <w:rFonts w:ascii="Times" w:hAnsi="Times" w:cs="Times"/>
        </w:rPr>
        <w:footnoteReference w:id="48"/>
      </w:r>
      <w:r w:rsidRPr="009A6BD2">
        <w:rPr>
          <w:rFonts w:ascii="Times New Roman" w:hAnsi="Times New Roman" w:cs="Times"/>
        </w:rPr>
        <w:t>, et</w:t>
      </w:r>
      <w:r w:rsidRPr="009A6BD2">
        <w:rPr>
          <w:rFonts w:ascii="Times New Roman" w:hAnsi="Times New Roman" w:cs="Times"/>
        </w:rPr>
        <w:t xml:space="preserve"> souvent moins ; chacun d'eux constitue donc un groupement beau</w:t>
      </w:r>
      <w:r w:rsidRPr="009A6BD2">
        <w:rPr>
          <w:rFonts w:ascii="Times" w:hAnsi="Times" w:cs="Times"/>
        </w:rPr>
        <w:softHyphen/>
      </w:r>
      <w:r w:rsidRPr="009A6BD2">
        <w:rPr>
          <w:rFonts w:ascii="Times New Roman" w:hAnsi="Times New Roman" w:cs="Times"/>
        </w:rPr>
        <w:t>coup plus important. Mais surtout le nombre en est mieux déterminé : on sait combien il y en a et on nous le dit </w:t>
      </w:r>
      <w:r w:rsidRPr="009A6BD2">
        <w:rPr>
          <w:rStyle w:val="Rimandonotaapidipagina"/>
          <w:rFonts w:ascii="Times" w:hAnsi="Times" w:cs="Times"/>
        </w:rPr>
        <w:footnoteReference w:id="4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Cette différence tient à la supériorité de la technique sociale. Les groupe</w:t>
      </w:r>
      <w:r w:rsidRPr="009A6BD2">
        <w:rPr>
          <w:rFonts w:ascii="Times New Roman" w:hAnsi="Times New Roman" w:cs="Times"/>
        </w:rPr>
        <w:t>s sociaux, dès le moment où ces tribus ont été observées pour la première fois, étaient fortement enracinés dans le sol, par suite, plus capables de résister aux forces dispersives qui les assaillaient. En même temps, la société avait déjà un trop vif sent</w:t>
      </w:r>
      <w:r w:rsidRPr="009A6BD2">
        <w:rPr>
          <w:rFonts w:ascii="Times New Roman" w:hAnsi="Times New Roman" w:cs="Times"/>
        </w:rPr>
        <w:t>iment de son unité pour rester inconsciente d'elle-même et des parties qui la composaient. L'exemple de l'Amérique nous sert ainsi à nous mieux rendre compte de ce qu'est l'organisation à base de clans. On se tromperait si l'on ne jugeait de cette dernière</w:t>
      </w:r>
      <w:r w:rsidRPr="009A6BD2">
        <w:rPr>
          <w:rFonts w:ascii="Times New Roman" w:hAnsi="Times New Roman" w:cs="Times"/>
        </w:rPr>
        <w:t xml:space="preserve"> que d'après l'aspect qu'elle présente actuellement en Australie. Elle y est, en effet, dans un état de flottement et de dissolution qui n'a rien de normal ; il y faut voir bien plutôt le produit d'une dégénérescence, imputable aussi bien à l'usure naturel</w:t>
      </w:r>
      <w:r w:rsidRPr="009A6BD2">
        <w:rPr>
          <w:rFonts w:ascii="Times New Roman" w:hAnsi="Times New Roman" w:cs="Times"/>
        </w:rPr>
        <w:t>le du temps qu'à l'action désorganisatrice des blancs. Sans doute, il est peu probable que les clans australiens aient jamais eu les dimensions et la solide structure des clans américains. Cependant, il a dû y avoir un temps où la distance entre les uns et</w:t>
      </w:r>
      <w:r w:rsidRPr="009A6BD2">
        <w:rPr>
          <w:rFonts w:ascii="Times New Roman" w:hAnsi="Times New Roman" w:cs="Times"/>
        </w:rPr>
        <w:t xml:space="preserve"> les autres était moins considérable qu'aujourd'hui ; car les sociétés d'Amérique n'auraient jamais réussi à se faire une aussi solide ossature si le clan avait toujours été fait d'une matière aussi fluide et inconsistante.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Cette stabilité plus grande a m</w:t>
      </w:r>
      <w:r w:rsidRPr="009A6BD2">
        <w:rPr>
          <w:rFonts w:ascii="Times New Roman" w:hAnsi="Times New Roman" w:cs="Times"/>
        </w:rPr>
        <w:t>ême permis au système archaïque des phratries de se maintenir en Amérique avec une netteté et un relief qu'il n'a plus en Australie. Nous venons de voir que, sur ce dernier continent, la phratrie est partout en décadence ; très souvent, ce n'est plus qu'un</w:t>
      </w:r>
      <w:r w:rsidRPr="009A6BD2">
        <w:rPr>
          <w:rFonts w:ascii="Times New Roman" w:hAnsi="Times New Roman" w:cs="Times"/>
        </w:rPr>
        <w:t xml:space="preserve"> groupement anonyme ; quand elle a un nom, ou il n'est plus compris ou, en tout cas, il ne peut plus dire grand-chose à l'esprit de l'indigène, puisqu'il est emprunté à une langue étrangère ou qui ne se parle plus. Aussi n'avons-nous pu inférer l'existence</w:t>
      </w:r>
      <w:r w:rsidRPr="009A6BD2">
        <w:rPr>
          <w:rFonts w:ascii="Times New Roman" w:hAnsi="Times New Roman" w:cs="Times"/>
        </w:rPr>
        <w:t xml:space="preserve"> des totems de phratries que d'après quelques survivances, si peu marquées, pour la plupart, quelles ont échappé à nombre d'observateurs. Au contraire, sur certains points de l'Amérique, ce même système est resté au premier plan. Les tribus de la côte du N</w:t>
      </w:r>
      <w:r w:rsidRPr="009A6BD2">
        <w:rPr>
          <w:rFonts w:ascii="Times New Roman" w:hAnsi="Times New Roman" w:cs="Times"/>
        </w:rPr>
        <w:t>ord-Ouest, les Tlinkit et les Haida notamment, sont déjà parvenues à un degré de civilisation relativement avancé ; et cepen</w:t>
      </w:r>
      <w:r w:rsidRPr="009A6BD2">
        <w:rPr>
          <w:rFonts w:ascii="Times" w:hAnsi="Times" w:cs="Times"/>
        </w:rPr>
        <w:softHyphen/>
      </w:r>
      <w:r w:rsidRPr="009A6BD2">
        <w:rPr>
          <w:rFonts w:ascii="Times New Roman" w:hAnsi="Times New Roman" w:cs="Times"/>
        </w:rPr>
        <w:t>dant, elles sont divisées en deux phratries qui se subdivisent à leur tour en un certain nom</w:t>
      </w:r>
      <w:r w:rsidRPr="009A6BD2">
        <w:rPr>
          <w:rFonts w:ascii="Times" w:hAnsi="Times" w:cs="Times"/>
        </w:rPr>
        <w:softHyphen/>
      </w:r>
      <w:r w:rsidRPr="009A6BD2">
        <w:rPr>
          <w:rFonts w:ascii="Times New Roman" w:hAnsi="Times New Roman" w:cs="Times"/>
        </w:rPr>
        <w:t>bre de clans : phratries du Corbeau et</w:t>
      </w:r>
      <w:r w:rsidRPr="009A6BD2">
        <w:rPr>
          <w:rFonts w:ascii="Times New Roman" w:hAnsi="Times New Roman" w:cs="Times"/>
        </w:rPr>
        <w:t xml:space="preserve"> du Loup chez les Tlinkit </w:t>
      </w:r>
      <w:r w:rsidRPr="009A6BD2">
        <w:rPr>
          <w:rStyle w:val="Rimandonotaapidipagina"/>
          <w:rFonts w:ascii="Times" w:hAnsi="Times" w:cs="Times"/>
        </w:rPr>
        <w:footnoteReference w:id="50"/>
      </w:r>
      <w:r w:rsidRPr="009A6BD2">
        <w:rPr>
          <w:rFonts w:ascii="Times New Roman" w:hAnsi="Times New Roman" w:cs="Times"/>
        </w:rPr>
        <w:t>, de l'Aigle et du Corbeau chez les Haida </w:t>
      </w:r>
      <w:r w:rsidRPr="009A6BD2">
        <w:rPr>
          <w:rStyle w:val="Rimandonotaapidipagina"/>
          <w:rFonts w:ascii="Times" w:hAnsi="Times" w:cs="Times"/>
        </w:rPr>
        <w:footnoteReference w:id="51"/>
      </w:r>
      <w:r w:rsidRPr="009A6BD2">
        <w:rPr>
          <w:rFonts w:ascii="Times New Roman" w:hAnsi="Times New Roman" w:cs="Times"/>
        </w:rPr>
        <w:t xml:space="preserve">. Et cette division n'est pas simplement nominale ; elle correspond à un état toujours actuel des mœurs et marque profondément la vie. La distance morale qui sépare les clans est peu de </w:t>
      </w:r>
      <w:r w:rsidRPr="009A6BD2">
        <w:rPr>
          <w:rFonts w:ascii="Times New Roman" w:hAnsi="Times New Roman" w:cs="Times"/>
        </w:rPr>
        <w:t>chose à côté de celle qui sépare les phratries </w:t>
      </w:r>
      <w:r w:rsidRPr="009A6BD2">
        <w:rPr>
          <w:rStyle w:val="Rimandonotaapidipagina"/>
          <w:rFonts w:ascii="Times" w:hAnsi="Times" w:cs="Times"/>
        </w:rPr>
        <w:footnoteReference w:id="52"/>
      </w:r>
      <w:r w:rsidRPr="009A6BD2">
        <w:rPr>
          <w:rFonts w:ascii="Times New Roman" w:hAnsi="Times New Roman" w:cs="Times"/>
        </w:rPr>
        <w:t>. Le nom que cha</w:t>
      </w:r>
      <w:r w:rsidRPr="009A6BD2">
        <w:rPr>
          <w:rFonts w:ascii="Times" w:hAnsi="Times" w:cs="Times"/>
        </w:rPr>
        <w:softHyphen/>
      </w:r>
      <w:r w:rsidRPr="009A6BD2">
        <w:rPr>
          <w:rFonts w:ascii="Times New Roman" w:hAnsi="Times New Roman" w:cs="Times"/>
        </w:rPr>
        <w:t>cu</w:t>
      </w:r>
      <w:r w:rsidRPr="009A6BD2">
        <w:rPr>
          <w:rFonts w:ascii="Times" w:hAnsi="Times" w:cs="Times"/>
        </w:rPr>
        <w:softHyphen/>
      </w:r>
      <w:r w:rsidRPr="009A6BD2">
        <w:rPr>
          <w:rFonts w:ascii="Times New Roman" w:hAnsi="Times New Roman" w:cs="Times"/>
        </w:rPr>
        <w:lastRenderedPageBreak/>
        <w:t>ne d'elles porte n'est pas seulement un mot dont on a oublié ou dont on ne sait plus que vague</w:t>
      </w:r>
      <w:r w:rsidRPr="009A6BD2">
        <w:rPr>
          <w:rFonts w:ascii="Times" w:hAnsi="Times" w:cs="Times"/>
        </w:rPr>
        <w:softHyphen/>
      </w:r>
      <w:r w:rsidRPr="009A6BD2">
        <w:rPr>
          <w:rFonts w:ascii="Times New Roman" w:hAnsi="Times New Roman" w:cs="Times"/>
        </w:rPr>
        <w:t>ment le sens ; c'est un totem dans toute la force du terme ; il en a tous les attributs essen</w:t>
      </w:r>
      <w:r w:rsidRPr="009A6BD2">
        <w:rPr>
          <w:rFonts w:ascii="Times" w:hAnsi="Times" w:cs="Times"/>
        </w:rPr>
        <w:softHyphen/>
      </w:r>
      <w:r w:rsidRPr="009A6BD2">
        <w:rPr>
          <w:rFonts w:ascii="Times New Roman" w:hAnsi="Times New Roman" w:cs="Times"/>
        </w:rPr>
        <w:t>tiels, tels qu'ils seront décrits plus loin </w:t>
      </w:r>
      <w:r w:rsidRPr="009A6BD2">
        <w:rPr>
          <w:rStyle w:val="Rimandonotaapidipagina"/>
          <w:rFonts w:ascii="Times" w:hAnsi="Times" w:cs="Times"/>
        </w:rPr>
        <w:footnoteReference w:id="53"/>
      </w:r>
      <w:r w:rsidRPr="009A6BD2">
        <w:rPr>
          <w:rFonts w:ascii="Times New Roman" w:hAnsi="Times New Roman" w:cs="Times"/>
        </w:rPr>
        <w:t xml:space="preserve">. Sur ce point encore, par conséquent, il y avait intérêt à ne pas négliger les tribus d'Amérique, puisque nous pouvons y observer directement de ces totems de phratries dont l'Australie ne nous offre plus que </w:t>
      </w:r>
      <w:r w:rsidRPr="009A6BD2">
        <w:rPr>
          <w:rFonts w:ascii="Times New Roman" w:hAnsi="Times New Roman" w:cs="Times"/>
        </w:rPr>
        <w:t>d'obscurs vestiges.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8" w:name="livre_2_chap_1_2"/>
      <w:r w:rsidRPr="009A6BD2">
        <w:rPr>
          <w:rFonts w:ascii="Times New Roman" w:hAnsi="Times New Roman"/>
        </w:rPr>
        <w:t>II</w:t>
      </w:r>
    </w:p>
    <w:bookmarkEnd w:id="8"/>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Mais le totem n'est pas seulement un nom; c'est un emblème, un véritable blason, dont les analogies avec le blason héraldique ont été souvent remarquées. « Chaque famille, dit Grey en parla</w:t>
      </w:r>
      <w:r w:rsidRPr="009A6BD2">
        <w:rPr>
          <w:rFonts w:ascii="Times New Roman" w:hAnsi="Times New Roman" w:cs="Times"/>
        </w:rPr>
        <w:t xml:space="preserve">nt des Australiens, adopte un animal ou un végétal comme son écusson et sa marque, </w:t>
      </w:r>
      <w:r w:rsidRPr="009A6BD2">
        <w:rPr>
          <w:rFonts w:ascii="Times New Roman" w:hAnsi="Times New Roman" w:cs="Times"/>
          <w:i/>
          <w:iCs/>
        </w:rPr>
        <w:t xml:space="preserve">(as their crest and sign) </w:t>
      </w:r>
      <w:r w:rsidRPr="009A6BD2">
        <w:rPr>
          <w:rFonts w:ascii="Times New Roman" w:hAnsi="Times New Roman" w:cs="Times"/>
        </w:rPr>
        <w:t>» </w:t>
      </w:r>
      <w:r w:rsidRPr="009A6BD2">
        <w:rPr>
          <w:rStyle w:val="Rimandonotaapidipagina"/>
          <w:rFonts w:ascii="Times" w:hAnsi="Times" w:cs="Times"/>
        </w:rPr>
        <w:footnoteReference w:id="54"/>
      </w:r>
      <w:r w:rsidRPr="009A6BD2">
        <w:rPr>
          <w:rFonts w:ascii="Times New Roman" w:hAnsi="Times New Roman" w:cs="Times"/>
        </w:rPr>
        <w:t xml:space="preserve"> ; et ce que Grey appelle une famille est incon</w:t>
      </w:r>
      <w:r w:rsidRPr="009A6BD2">
        <w:rPr>
          <w:rFonts w:ascii="Times" w:hAnsi="Times" w:cs="Times"/>
        </w:rPr>
        <w:softHyphen/>
      </w:r>
      <w:r w:rsidRPr="009A6BD2">
        <w:rPr>
          <w:rFonts w:ascii="Times New Roman" w:hAnsi="Times New Roman" w:cs="Times"/>
        </w:rPr>
        <w:t>testablement un clan. « L'organisation australienne, disent également Fison et Howitt, mon</w:t>
      </w:r>
      <w:r w:rsidRPr="009A6BD2">
        <w:rPr>
          <w:rFonts w:ascii="Times" w:hAnsi="Times" w:cs="Times"/>
        </w:rPr>
        <w:softHyphen/>
      </w:r>
      <w:r w:rsidRPr="009A6BD2">
        <w:rPr>
          <w:rFonts w:ascii="Times New Roman" w:hAnsi="Times New Roman" w:cs="Times"/>
        </w:rPr>
        <w:t>tre q</w:t>
      </w:r>
      <w:r w:rsidRPr="009A6BD2">
        <w:rPr>
          <w:rFonts w:ascii="Times New Roman" w:hAnsi="Times New Roman" w:cs="Times"/>
        </w:rPr>
        <w:t xml:space="preserve">ue le totem est, avant tout, le blason d'un groupe </w:t>
      </w:r>
      <w:r w:rsidRPr="009A6BD2">
        <w:rPr>
          <w:rFonts w:ascii="Times New Roman" w:hAnsi="Times New Roman" w:cs="Times"/>
          <w:i/>
          <w:iCs/>
        </w:rPr>
        <w:t xml:space="preserve">(the badge of a group) </w:t>
      </w:r>
      <w:r w:rsidRPr="009A6BD2">
        <w:rPr>
          <w:rFonts w:ascii="Times New Roman" w:hAnsi="Times New Roman" w:cs="Times"/>
        </w:rPr>
        <w:t>» </w:t>
      </w:r>
      <w:r w:rsidRPr="009A6BD2">
        <w:rPr>
          <w:rStyle w:val="Rimandonotaapidipagina"/>
          <w:rFonts w:ascii="Times" w:hAnsi="Times" w:cs="Times"/>
        </w:rPr>
        <w:footnoteReference w:id="55"/>
      </w:r>
      <w:r w:rsidRPr="009A6BD2">
        <w:rPr>
          <w:rFonts w:ascii="Times New Roman" w:hAnsi="Times New Roman" w:cs="Times"/>
        </w:rPr>
        <w:t>. Schoolcraft s'exprime dans les mêmes termes sur les totems des Indiens de l'Amérique du Nord : « Le totem, dit-il, est, en fait, un dessin qui correspond aux emblèmes héraldique</w:t>
      </w:r>
      <w:r w:rsidRPr="009A6BD2">
        <w:rPr>
          <w:rFonts w:ascii="Times New Roman" w:hAnsi="Times New Roman" w:cs="Times"/>
        </w:rPr>
        <w:t xml:space="preserve">s des nations civilisées, et que chaque personne est autorisée à porter comme preuve de l'identité de la famille à laquelle elle appartient. C'est que démontre l'étymologie véritable du mot lequel est dérivé de </w:t>
      </w:r>
      <w:r w:rsidRPr="009A6BD2">
        <w:rPr>
          <w:rFonts w:ascii="Times New Roman" w:hAnsi="Times New Roman" w:cs="Times"/>
          <w:i/>
          <w:iCs/>
        </w:rPr>
        <w:t xml:space="preserve">dodaim </w:t>
      </w:r>
      <w:r w:rsidRPr="009A6BD2">
        <w:rPr>
          <w:rFonts w:ascii="Times New Roman" w:hAnsi="Times New Roman" w:cs="Times"/>
        </w:rPr>
        <w:t>qui signifie village ou résidence d'un</w:t>
      </w:r>
      <w:r w:rsidRPr="009A6BD2">
        <w:rPr>
          <w:rFonts w:ascii="Times New Roman" w:hAnsi="Times New Roman" w:cs="Times"/>
        </w:rPr>
        <w:t xml:space="preserve"> groupe familial » </w:t>
      </w:r>
      <w:r w:rsidRPr="009A6BD2">
        <w:rPr>
          <w:rStyle w:val="Rimandonotaapidipagina"/>
          <w:rFonts w:ascii="Times" w:hAnsi="Times" w:cs="Times"/>
        </w:rPr>
        <w:footnoteReference w:id="56"/>
      </w:r>
      <w:r w:rsidRPr="009A6BD2">
        <w:rPr>
          <w:rFonts w:ascii="Times New Roman" w:hAnsi="Times New Roman" w:cs="Times"/>
        </w:rPr>
        <w:t>. Aussi, quand les Indiens entrèrent en relations avec les Européens et que des contrats se formèrent entre les uns et les autres, c'est de son totem que chaque clan scellait les traités ainsi conclus </w:t>
      </w:r>
      <w:r w:rsidRPr="009A6BD2">
        <w:rPr>
          <w:rStyle w:val="Rimandonotaapidipagina"/>
          <w:rFonts w:ascii="Times" w:hAnsi="Times" w:cs="Times"/>
        </w:rPr>
        <w:footnoteReference w:id="5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Les nobles de l'époque féodale </w:t>
      </w:r>
      <w:r w:rsidRPr="009A6BD2">
        <w:rPr>
          <w:rFonts w:ascii="Times New Roman" w:hAnsi="Times New Roman" w:cs="Times"/>
        </w:rPr>
        <w:t xml:space="preserve">sculptaient, gravaient, figuraient de toutes les manières leurs armoiries sur les murs de leurs châteaux, sur leurs armes, sur les objets de toute sorte qui leur appartenaient : les noirs de l'Australie, les Indiens de l'Amérique du Nord font de même pour </w:t>
      </w:r>
      <w:r w:rsidRPr="009A6BD2">
        <w:rPr>
          <w:rFonts w:ascii="Times New Roman" w:hAnsi="Times New Roman" w:cs="Times"/>
        </w:rPr>
        <w:t>leurs totems. Les Indiens qui accompagnaient Samuel Hearne peignaient leurs totems sur leurs boucliers avant d'aller au combat </w:t>
      </w:r>
      <w:r w:rsidRPr="009A6BD2">
        <w:rPr>
          <w:rStyle w:val="Rimandonotaapidipagina"/>
          <w:rFonts w:ascii="Times" w:hAnsi="Times" w:cs="Times"/>
        </w:rPr>
        <w:footnoteReference w:id="58"/>
      </w:r>
      <w:r w:rsidRPr="009A6BD2">
        <w:rPr>
          <w:rFonts w:ascii="Times New Roman" w:hAnsi="Times New Roman" w:cs="Times"/>
        </w:rPr>
        <w:t>. D'après Charlevoix, certaines tribus indien</w:t>
      </w:r>
      <w:r w:rsidRPr="009A6BD2">
        <w:rPr>
          <w:rFonts w:ascii="Times" w:hAnsi="Times" w:cs="Times"/>
        </w:rPr>
        <w:softHyphen/>
      </w:r>
      <w:r w:rsidRPr="009A6BD2">
        <w:rPr>
          <w:rFonts w:ascii="Times New Roman" w:hAnsi="Times New Roman" w:cs="Times"/>
        </w:rPr>
        <w:t>nes avaient, en temps de guerre, de véritables enseignes, faites de morceaux d'éco</w:t>
      </w:r>
      <w:r w:rsidRPr="009A6BD2">
        <w:rPr>
          <w:rFonts w:ascii="Times New Roman" w:hAnsi="Times New Roman" w:cs="Times"/>
        </w:rPr>
        <w:t xml:space="preserve">rces </w:t>
      </w:r>
      <w:r w:rsidRPr="009A6BD2">
        <w:rPr>
          <w:rFonts w:ascii="Times New Roman" w:hAnsi="Times New Roman" w:cs="Times"/>
        </w:rPr>
        <w:lastRenderedPageBreak/>
        <w:t>tenus au bout d'une perche et sur lesquels étaient représentés les totems </w:t>
      </w:r>
      <w:r w:rsidRPr="009A6BD2">
        <w:rPr>
          <w:rStyle w:val="Rimandonotaapidipagina"/>
          <w:rFonts w:ascii="Times" w:hAnsi="Times" w:cs="Times"/>
        </w:rPr>
        <w:footnoteReference w:id="59"/>
      </w:r>
      <w:r w:rsidRPr="009A6BD2">
        <w:rPr>
          <w:rFonts w:ascii="Times New Roman" w:hAnsi="Times New Roman" w:cs="Times"/>
        </w:rPr>
        <w:t>. Chez les Tlinkit, quand un conflit éclate entre deux clans, les champions des deux groupes ennemis portent sur la tête un casque sur lequel se trouvent figurés leurs totems r</w:t>
      </w:r>
      <w:r w:rsidRPr="009A6BD2">
        <w:rPr>
          <w:rFonts w:ascii="Times New Roman" w:hAnsi="Times New Roman" w:cs="Times"/>
        </w:rPr>
        <w:t>espectifs </w:t>
      </w:r>
      <w:r w:rsidRPr="009A6BD2">
        <w:rPr>
          <w:rStyle w:val="Rimandonotaapidipagina"/>
          <w:rFonts w:ascii="Times" w:hAnsi="Times" w:cs="Times"/>
        </w:rPr>
        <w:footnoteReference w:id="60"/>
      </w:r>
      <w:r w:rsidRPr="009A6BD2">
        <w:rPr>
          <w:rFonts w:ascii="Times New Roman" w:hAnsi="Times New Roman" w:cs="Times"/>
        </w:rPr>
        <w:t>. Chez les Iroquois, on mettait sur chaque wigwam, comme marque du clan, la peau de l'animal qui servait de totem </w:t>
      </w:r>
      <w:r w:rsidRPr="009A6BD2">
        <w:rPr>
          <w:rStyle w:val="Rimandonotaapidipagina"/>
          <w:rFonts w:ascii="Times" w:hAnsi="Times" w:cs="Times"/>
        </w:rPr>
        <w:footnoteReference w:id="61"/>
      </w:r>
      <w:r w:rsidRPr="009A6BD2">
        <w:rPr>
          <w:rFonts w:ascii="Times New Roman" w:hAnsi="Times New Roman" w:cs="Times"/>
        </w:rPr>
        <w:t>. D'après un autre observateur, c'est l'animal empaillé qui était dressé devant la porte </w:t>
      </w:r>
      <w:r w:rsidRPr="009A6BD2">
        <w:rPr>
          <w:rStyle w:val="Rimandonotaapidipagina"/>
          <w:rFonts w:ascii="Times" w:hAnsi="Times" w:cs="Times"/>
        </w:rPr>
        <w:footnoteReference w:id="62"/>
      </w:r>
      <w:r w:rsidRPr="009A6BD2">
        <w:rPr>
          <w:rFonts w:ascii="Times New Roman" w:hAnsi="Times New Roman" w:cs="Times"/>
        </w:rPr>
        <w:t>. Chez les Wyandot, chaque clan a ses or</w:t>
      </w:r>
      <w:r w:rsidRPr="009A6BD2">
        <w:rPr>
          <w:rFonts w:ascii="Times New Roman" w:hAnsi="Times New Roman" w:cs="Times"/>
        </w:rPr>
        <w:t xml:space="preserve">nements propres et ses peintures distinctives </w:t>
      </w:r>
      <w:r w:rsidRPr="009A6BD2">
        <w:rPr>
          <w:rStyle w:val="Rimandonotaapidipagina"/>
          <w:rFonts w:ascii="Times" w:hAnsi="Times" w:cs="Times"/>
        </w:rPr>
        <w:footnoteReference w:id="63"/>
      </w:r>
      <w:r w:rsidRPr="009A6BD2">
        <w:rPr>
          <w:rFonts w:ascii="Times New Roman" w:hAnsi="Times New Roman" w:cs="Times"/>
        </w:rPr>
        <w:t>. Chez les Omaha, et plus généralement chez les Sioux, le totem est peint sur la tente </w:t>
      </w:r>
      <w:r w:rsidRPr="009A6BD2">
        <w:rPr>
          <w:rStyle w:val="Rimandonotaapidipagina"/>
          <w:rFonts w:ascii="Times" w:hAnsi="Times" w:cs="Times"/>
        </w:rPr>
        <w:footnoteReference w:id="6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Là où la société est devenue sédentaire, oh la tente est remplacée par la maison, où les arts plastiques sont déjà plu</w:t>
      </w:r>
      <w:r w:rsidRPr="009A6BD2">
        <w:rPr>
          <w:rFonts w:ascii="Times New Roman" w:hAnsi="Times New Roman" w:cs="Times"/>
        </w:rPr>
        <w:t>s développés, c'est sur le bois, c'est sur les murs qu'est gravé le totem. C'est ce qui arrive, par exemple, chez les Haida, les Tsimshian, les Salish, les Tlinkit « Un ornement très particulier de la maison chez les Tlinkit, dit Krause, ce sont les armoir</w:t>
      </w:r>
      <w:r w:rsidRPr="009A6BD2">
        <w:rPr>
          <w:rFonts w:ascii="Times New Roman" w:hAnsi="Times New Roman" w:cs="Times"/>
        </w:rPr>
        <w:t>ies du totem. » Ce sont des formes animales, combinées dans certains cas avec des formes humaines, et sculptées sur des poteaux, qui s'élèvent à côté de la porte d'entrée et qui ont jusqu'à 15 mètres de hauteur ; elles sont généralement peintes avec des co</w:t>
      </w:r>
      <w:r w:rsidRPr="009A6BD2">
        <w:rPr>
          <w:rFonts w:ascii="Times New Roman" w:hAnsi="Times New Roman" w:cs="Times"/>
        </w:rPr>
        <w:t>uleurs très voyantes </w:t>
      </w:r>
      <w:r w:rsidRPr="009A6BD2">
        <w:rPr>
          <w:rStyle w:val="Rimandonotaapidipagina"/>
          <w:rFonts w:ascii="Times" w:hAnsi="Times" w:cs="Times"/>
        </w:rPr>
        <w:footnoteReference w:id="65"/>
      </w:r>
      <w:r w:rsidRPr="009A6BD2">
        <w:rPr>
          <w:rFonts w:ascii="Times New Roman" w:hAnsi="Times New Roman" w:cs="Times"/>
        </w:rPr>
        <w:t>. Cependant, dans un village Tlinkit, ces figurations totémiques ne sont pas très nombreuses ; on ne les trouve guère que devant les maisons des chefs et des riches. Elles sont beaucoup plus fréquentes dans la tribu voisine des Haida,</w:t>
      </w:r>
      <w:r w:rsidRPr="009A6BD2">
        <w:rPr>
          <w:rFonts w:ascii="Times New Roman" w:hAnsi="Times New Roman" w:cs="Times"/>
        </w:rPr>
        <w:t xml:space="preserve"> là, il y en a toujours plusieurs par maison </w:t>
      </w:r>
      <w:r w:rsidRPr="009A6BD2">
        <w:rPr>
          <w:rStyle w:val="Rimandonotaapidipagina"/>
          <w:rFonts w:ascii="Times" w:hAnsi="Times" w:cs="Times"/>
        </w:rPr>
        <w:footnoteReference w:id="66"/>
      </w:r>
      <w:r w:rsidRPr="009A6BD2">
        <w:rPr>
          <w:rFonts w:ascii="Times New Roman" w:hAnsi="Times New Roman" w:cs="Times"/>
        </w:rPr>
        <w:t>. Avec ses multiples poteaux sculptés qui se dressent de tous côtés et parfois à une grande hauteur, un village Haida donne l'impression d'une ville sainte, toute hérissée de clochers ou de minarets minuscules </w:t>
      </w:r>
      <w:r w:rsidRPr="009A6BD2">
        <w:rPr>
          <w:rStyle w:val="Rimandonotaapidipagina"/>
          <w:rFonts w:ascii="Times" w:hAnsi="Times" w:cs="Times"/>
        </w:rPr>
        <w:footnoteReference w:id="67"/>
      </w:r>
      <w:r w:rsidRPr="009A6BD2">
        <w:rPr>
          <w:rFonts w:ascii="Times New Roman" w:hAnsi="Times New Roman" w:cs="Times"/>
        </w:rPr>
        <w:t>. Chez les Salish, c'est souvent sur les parois intérieures de la maison qu'est représenté le totem </w:t>
      </w:r>
      <w:r w:rsidRPr="009A6BD2">
        <w:rPr>
          <w:rStyle w:val="Rimandonotaapidipagina"/>
          <w:rFonts w:ascii="Times" w:hAnsi="Times" w:cs="Times"/>
        </w:rPr>
        <w:footnoteReference w:id="68"/>
      </w:r>
      <w:r w:rsidRPr="009A6BD2">
        <w:rPr>
          <w:rFonts w:ascii="Times New Roman" w:hAnsi="Times New Roman" w:cs="Times"/>
        </w:rPr>
        <w:t>. On le retrouve, d'ailleurs, sur les canots, sur des ustensiles de toute sorte, et sur les monuments funéraires </w:t>
      </w:r>
      <w:r w:rsidRPr="009A6BD2">
        <w:rPr>
          <w:rStyle w:val="Rimandonotaapidipagina"/>
          <w:rFonts w:ascii="Times" w:hAnsi="Times" w:cs="Times"/>
        </w:rPr>
        <w:footnoteReference w:id="6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Les exemples qui précèdent sont exclu</w:t>
      </w:r>
      <w:r w:rsidRPr="009A6BD2">
        <w:rPr>
          <w:rFonts w:ascii="Times New Roman" w:hAnsi="Times New Roman" w:cs="Times"/>
        </w:rPr>
        <w:t>sivement empruntés aux Indiens de l'Amérique du Nord. C'est que ces sculptures, ces gravures, ces figurations permanentes ne sont possibles que là où la technique des arts plastiques est déjà parvenue à un degré de perfectionnement que les tribus australie</w:t>
      </w:r>
      <w:r w:rsidRPr="009A6BD2">
        <w:rPr>
          <w:rFonts w:ascii="Times New Roman" w:hAnsi="Times New Roman" w:cs="Times"/>
        </w:rPr>
        <w:t xml:space="preserve">nnes n'ont pas encore atteint. Par suite, les représentations totémiques du genre de celles qui viennent d'être mentionnées sont plus rares et moins apparentes en </w:t>
      </w:r>
      <w:r w:rsidRPr="009A6BD2">
        <w:rPr>
          <w:rFonts w:ascii="Times New Roman" w:hAnsi="Times New Roman" w:cs="Times"/>
        </w:rPr>
        <w:lastRenderedPageBreak/>
        <w:t>Australie qu'en Amérique. Cependant, on en cite des cas. Chez les Warramunga, à la fin des cé</w:t>
      </w:r>
      <w:r w:rsidRPr="009A6BD2">
        <w:rPr>
          <w:rFonts w:ascii="Times New Roman" w:hAnsi="Times New Roman" w:cs="Times"/>
        </w:rPr>
        <w:t>rémonies mortuaires, on enterre les ossements du mort, préalablement desséchés et réduits en poudre ; à côté de l'endroit où ils sont ainsi déposés, une figure représentative du totem est tracée sur le sol </w:t>
      </w:r>
      <w:r w:rsidRPr="009A6BD2">
        <w:rPr>
          <w:rStyle w:val="Rimandonotaapidipagina"/>
          <w:rFonts w:ascii="Times" w:hAnsi="Times" w:cs="Times"/>
        </w:rPr>
        <w:footnoteReference w:id="70"/>
      </w:r>
      <w:r w:rsidRPr="009A6BD2">
        <w:rPr>
          <w:rFonts w:ascii="Times New Roman" w:hAnsi="Times New Roman" w:cs="Times"/>
        </w:rPr>
        <w:t xml:space="preserve">. Chez les Mara et les Anula, le corps est placé </w:t>
      </w:r>
      <w:r w:rsidRPr="009A6BD2">
        <w:rPr>
          <w:rFonts w:ascii="Times New Roman" w:hAnsi="Times New Roman" w:cs="Times"/>
        </w:rPr>
        <w:t>dans une pièce de bois creuse qui est également décorée de dessins caractéristiques du totem </w:t>
      </w:r>
      <w:r w:rsidRPr="009A6BD2">
        <w:rPr>
          <w:rStyle w:val="Rimandonotaapidipagina"/>
          <w:rFonts w:ascii="Times" w:hAnsi="Times" w:cs="Times"/>
        </w:rPr>
        <w:footnoteReference w:id="71"/>
      </w:r>
      <w:r w:rsidRPr="009A6BD2">
        <w:rPr>
          <w:rFonts w:ascii="Times New Roman" w:hAnsi="Times New Roman" w:cs="Times"/>
        </w:rPr>
        <w:t>. Dans la Nouvelle Galles du Sud, Oxley a trouvé gravées sur des arbres, voisins de la tombe où un indigène était enterré </w:t>
      </w:r>
      <w:r w:rsidRPr="009A6BD2">
        <w:rPr>
          <w:rStyle w:val="Rimandonotaapidipagina"/>
          <w:rFonts w:ascii="Times" w:hAnsi="Times" w:cs="Times"/>
        </w:rPr>
        <w:footnoteReference w:id="72"/>
      </w:r>
      <w:r w:rsidRPr="009A6BD2">
        <w:rPr>
          <w:rFonts w:ascii="Times New Roman" w:hAnsi="Times New Roman" w:cs="Times"/>
        </w:rPr>
        <w:t>, des figures auxquelles Brough Smyth a</w:t>
      </w:r>
      <w:r w:rsidRPr="009A6BD2">
        <w:rPr>
          <w:rFonts w:ascii="Times New Roman" w:hAnsi="Times New Roman" w:cs="Times"/>
        </w:rPr>
        <w:t>ttribue un caractère toté</w:t>
      </w:r>
      <w:r w:rsidRPr="009A6BD2">
        <w:rPr>
          <w:rFonts w:ascii="Times" w:hAnsi="Times" w:cs="Times"/>
        </w:rPr>
        <w:softHyphen/>
      </w:r>
      <w:r w:rsidRPr="009A6BD2">
        <w:rPr>
          <w:rFonts w:ascii="Times New Roman" w:hAnsi="Times New Roman" w:cs="Times"/>
        </w:rPr>
        <w:t>mique. Les indigènes du Haut Darling gravent sur leurs boucliers des images totémiques </w:t>
      </w:r>
      <w:r w:rsidRPr="009A6BD2">
        <w:rPr>
          <w:rStyle w:val="Rimandonotaapidipagina"/>
          <w:rFonts w:ascii="Times" w:hAnsi="Times" w:cs="Times"/>
        </w:rPr>
        <w:footnoteReference w:id="73"/>
      </w:r>
      <w:r w:rsidRPr="009A6BD2">
        <w:rPr>
          <w:rFonts w:ascii="Times New Roman" w:hAnsi="Times New Roman" w:cs="Times"/>
        </w:rPr>
        <w:t>. Suivant Collins, presque tous les ustensiles sont couverts d'ornements qui, vraisembla</w:t>
      </w:r>
      <w:r w:rsidRPr="009A6BD2">
        <w:rPr>
          <w:rFonts w:ascii="Times" w:hAnsi="Times" w:cs="Times"/>
        </w:rPr>
        <w:softHyphen/>
      </w:r>
      <w:r w:rsidRPr="009A6BD2">
        <w:rPr>
          <w:rFonts w:ascii="Times New Roman" w:hAnsi="Times New Roman" w:cs="Times"/>
        </w:rPr>
        <w:t>ble</w:t>
      </w:r>
      <w:r w:rsidRPr="009A6BD2">
        <w:rPr>
          <w:rFonts w:ascii="Times" w:hAnsi="Times" w:cs="Times"/>
        </w:rPr>
        <w:softHyphen/>
      </w:r>
      <w:r w:rsidRPr="009A6BD2">
        <w:rPr>
          <w:rFonts w:ascii="Times New Roman" w:hAnsi="Times New Roman" w:cs="Times"/>
        </w:rPr>
        <w:t xml:space="preserve">ment, ont la même signification; on retrouve des </w:t>
      </w:r>
      <w:r w:rsidRPr="009A6BD2">
        <w:rPr>
          <w:rFonts w:ascii="Times New Roman" w:hAnsi="Times New Roman" w:cs="Times"/>
        </w:rPr>
        <w:t>figures du même genre sur les rochers </w:t>
      </w:r>
      <w:r w:rsidRPr="009A6BD2">
        <w:rPr>
          <w:rStyle w:val="Rimandonotaapidipagina"/>
          <w:rFonts w:ascii="Times" w:hAnsi="Times" w:cs="Times"/>
        </w:rPr>
        <w:footnoteReference w:id="74"/>
      </w:r>
      <w:r w:rsidRPr="009A6BD2">
        <w:rPr>
          <w:rFonts w:ascii="Times New Roman" w:hAnsi="Times New Roman" w:cs="Times"/>
        </w:rPr>
        <w:t>. Ces dessins totémiques pourraient même être plus fréquents qu'il ne semble ; car, pour des raisons qui seront exposées plus loin, il n'est pas toujours facile d'apercevoir quel en est le véritable sens.</w:t>
      </w:r>
    </w:p>
    <w:p w:rsidR="009A6BD2" w:rsidRPr="009A6BD2" w:rsidRDefault="003E2D0F">
      <w:pPr>
        <w:jc w:val="both"/>
        <w:rPr>
          <w:rFonts w:ascii="Times New Roman" w:hAnsi="Times New Roman" w:cs="Times"/>
        </w:rPr>
      </w:pPr>
    </w:p>
    <w:p w:rsidR="009A6BD2" w:rsidRPr="009A6BD2" w:rsidRDefault="003E2D0F">
      <w:pPr>
        <w:jc w:val="both"/>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diffé</w:t>
      </w:r>
      <w:r w:rsidRPr="009A6BD2">
        <w:rPr>
          <w:rFonts w:ascii="Times New Roman" w:hAnsi="Times New Roman" w:cs="Times"/>
        </w:rPr>
        <w:t>rents faits donnent déjà le sentiment de la place considérable que le totem tient dans la vie sociale des primitifs. Cependant, jusqu'à présent, il nous est apparu comme relativement extérieur à l'homme ; car c'est seulement sur les choses que nous l'avons</w:t>
      </w:r>
      <w:r w:rsidRPr="009A6BD2">
        <w:rPr>
          <w:rFonts w:ascii="Times New Roman" w:hAnsi="Times New Roman" w:cs="Times"/>
        </w:rPr>
        <w:t xml:space="preserve"> vu représenté. Mais les images totémiques ne sont pas seulement reproduites sur les murs des maisons, les parois des canots, les armes, les instruments et les tombeaux; on les retrouve sur le corps même des hommes. Ceux-ci ne mettent pas seulement leur bl</w:t>
      </w:r>
      <w:r w:rsidRPr="009A6BD2">
        <w:rPr>
          <w:rFonts w:ascii="Times New Roman" w:hAnsi="Times New Roman" w:cs="Times"/>
        </w:rPr>
        <w:t>ason sur les objets qu'ils possèdent, ils le portent sur leur personne ; il est empreint dans leur chair, il fait partie d'eux-mêmes et c'est même ce mode de représentation qui est, et de beaucoup, le plus important.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en effet, une règle très général</w:t>
      </w:r>
      <w:r w:rsidRPr="009A6BD2">
        <w:rPr>
          <w:rFonts w:ascii="Times New Roman" w:hAnsi="Times New Roman" w:cs="Times"/>
        </w:rPr>
        <w:t>e que les membres de chaque clan cherchent à se donner l'aspect extérieur de leur totem. Chez les Tlinkit, à certaines fêtes religieuses, le personnage qui est préposé à la direction de la cérémonie porte un vêtement qui représente, en totalité ou en parti</w:t>
      </w:r>
      <w:r w:rsidRPr="009A6BD2">
        <w:rPr>
          <w:rFonts w:ascii="Times New Roman" w:hAnsi="Times New Roman" w:cs="Times"/>
        </w:rPr>
        <w:t>e, le corps de l'animal dont le clan porte le nom </w:t>
      </w:r>
      <w:r w:rsidRPr="009A6BD2">
        <w:rPr>
          <w:rStyle w:val="Rimandonotaapidipagina"/>
          <w:rFonts w:ascii="Times" w:hAnsi="Times" w:cs="Times"/>
        </w:rPr>
        <w:footnoteReference w:id="75"/>
      </w:r>
      <w:r w:rsidRPr="009A6BD2">
        <w:rPr>
          <w:rFonts w:ascii="Times New Roman" w:hAnsi="Times New Roman" w:cs="Times"/>
        </w:rPr>
        <w:t>. Des masques spé</w:t>
      </w:r>
      <w:r w:rsidRPr="009A6BD2">
        <w:rPr>
          <w:rFonts w:ascii="Times" w:hAnsi="Times" w:cs="Times"/>
        </w:rPr>
        <w:softHyphen/>
      </w:r>
      <w:r w:rsidRPr="009A6BD2">
        <w:rPr>
          <w:rFonts w:ascii="Times New Roman" w:hAnsi="Times New Roman" w:cs="Times"/>
        </w:rPr>
        <w:t>ciaux sont employés dans ce but. On retrouve les mêmes pratiques dans tout le Nord-Ouest américain </w:t>
      </w:r>
      <w:r w:rsidRPr="009A6BD2">
        <w:rPr>
          <w:rStyle w:val="Rimandonotaapidipagina"/>
          <w:rFonts w:ascii="Times" w:hAnsi="Times" w:cs="Times"/>
        </w:rPr>
        <w:footnoteReference w:id="76"/>
      </w:r>
      <w:r w:rsidRPr="009A6BD2">
        <w:rPr>
          <w:rFonts w:ascii="Times New Roman" w:hAnsi="Times New Roman" w:cs="Times"/>
        </w:rPr>
        <w:t>. Même usage chez les Minnitaree quand ils vont au combat </w:t>
      </w:r>
      <w:r w:rsidRPr="009A6BD2">
        <w:rPr>
          <w:rStyle w:val="Rimandonotaapidipagina"/>
          <w:rFonts w:ascii="Times" w:hAnsi="Times" w:cs="Times"/>
        </w:rPr>
        <w:footnoteReference w:id="77"/>
      </w:r>
      <w:r w:rsidRPr="009A6BD2">
        <w:rPr>
          <w:rFonts w:ascii="Times New Roman" w:hAnsi="Times New Roman" w:cs="Times"/>
        </w:rPr>
        <w:t>, chez les Indiens des Puebl</w:t>
      </w:r>
      <w:r w:rsidRPr="009A6BD2">
        <w:rPr>
          <w:rFonts w:ascii="Times New Roman" w:hAnsi="Times New Roman" w:cs="Times"/>
        </w:rPr>
        <w:t>os </w:t>
      </w:r>
      <w:r w:rsidRPr="009A6BD2">
        <w:rPr>
          <w:rStyle w:val="Rimandonotaapidipagina"/>
          <w:rFonts w:ascii="Times" w:hAnsi="Times" w:cs="Times"/>
        </w:rPr>
        <w:footnoteReference w:id="78"/>
      </w:r>
      <w:r w:rsidRPr="009A6BD2">
        <w:rPr>
          <w:rFonts w:ascii="Times New Roman" w:hAnsi="Times New Roman" w:cs="Times"/>
        </w:rPr>
        <w:t>. Ailleurs, quand le totem est un oiseau, les individus portent sur la tête les plumes de cet oiseau </w:t>
      </w:r>
      <w:r w:rsidRPr="009A6BD2">
        <w:rPr>
          <w:rStyle w:val="Rimandonotaapidipagina"/>
          <w:rFonts w:ascii="Times" w:hAnsi="Times" w:cs="Times"/>
        </w:rPr>
        <w:footnoteReference w:id="79"/>
      </w:r>
      <w:r w:rsidRPr="009A6BD2">
        <w:rPr>
          <w:rFonts w:ascii="Times New Roman" w:hAnsi="Times New Roman" w:cs="Times"/>
        </w:rPr>
        <w:t xml:space="preserve">. Chez les Iowa, chaque clan a une manière spéciale de se couper les </w:t>
      </w:r>
      <w:r w:rsidRPr="009A6BD2">
        <w:rPr>
          <w:rFonts w:ascii="Times New Roman" w:hAnsi="Times New Roman" w:cs="Times"/>
        </w:rPr>
        <w:lastRenderedPageBreak/>
        <w:t>cheveux. Dans le clan de l'Aigle, deux grandes touffes sont ménagées sur le devan</w:t>
      </w:r>
      <w:r w:rsidRPr="009A6BD2">
        <w:rPr>
          <w:rFonts w:ascii="Times New Roman" w:hAnsi="Times New Roman" w:cs="Times"/>
        </w:rPr>
        <w:t>t de la tête, tandis qu'une autre pend par derrière ; dans le clan du Buffle, on les dispose en forme de cornes </w:t>
      </w:r>
      <w:r w:rsidRPr="009A6BD2">
        <w:rPr>
          <w:rStyle w:val="Rimandonotaapidipagina"/>
          <w:rFonts w:ascii="Times" w:hAnsi="Times" w:cs="Times"/>
        </w:rPr>
        <w:footnoteReference w:id="80"/>
      </w:r>
      <w:r w:rsidRPr="009A6BD2">
        <w:rPr>
          <w:rFonts w:ascii="Times New Roman" w:hAnsi="Times New Roman" w:cs="Times"/>
        </w:rPr>
        <w:t>. Chez les Omaha, on trouve des dispositifs analogues : chaque clan a sa coiffure. Dans le clan de la Tortue, par exemple, les cheveux sont ras</w:t>
      </w:r>
      <w:r w:rsidRPr="009A6BD2">
        <w:rPr>
          <w:rFonts w:ascii="Times New Roman" w:hAnsi="Times New Roman" w:cs="Times"/>
        </w:rPr>
        <w:t>és sauf six boucles, deux de cha</w:t>
      </w:r>
      <w:r w:rsidRPr="009A6BD2">
        <w:rPr>
          <w:rFonts w:ascii="Times" w:hAnsi="Times" w:cs="Times"/>
        </w:rPr>
        <w:softHyphen/>
      </w:r>
      <w:r w:rsidRPr="009A6BD2">
        <w:rPr>
          <w:rFonts w:ascii="Times New Roman" w:hAnsi="Times New Roman" w:cs="Times"/>
        </w:rPr>
        <w:t>que côté de la tête, une devant et une derrière, de façon à imiter les pattes, la tête et la queue de l'animal </w:t>
      </w:r>
      <w:r w:rsidRPr="009A6BD2">
        <w:rPr>
          <w:rStyle w:val="Rimandonotaapidipagina"/>
          <w:rFonts w:ascii="Times" w:hAnsi="Times" w:cs="Times"/>
        </w:rPr>
        <w:footnoteReference w:id="8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le plus souvent, c'est sur le corps lui-même qu'est imprimée la marque totémique : il y a là un mode de</w:t>
      </w:r>
      <w:r w:rsidRPr="009A6BD2">
        <w:rPr>
          <w:rFonts w:ascii="Times New Roman" w:hAnsi="Times New Roman" w:cs="Times"/>
        </w:rPr>
        <w:t xml:space="preserve"> représentation qui est à la portée même des sociétés les moins avancées. On s'est demandé parfois si le rite si fréquent qui consiste à arracher au jeune homme les deux dents supérieures à l'époque de la puberté n'aurait pas pour objet de reproduire la fo</w:t>
      </w:r>
      <w:r w:rsidRPr="009A6BD2">
        <w:rPr>
          <w:rFonts w:ascii="Times New Roman" w:hAnsi="Times New Roman" w:cs="Times"/>
        </w:rPr>
        <w:t>rme du totem. Le fait n'est pas établi ; mais il est remarquable que, parfois, les indigènes eux-mêmes expliquent ainsi cet usage. Par exemple, chez les Arunta, l'extraction des dents n'est pratiquée que dans le clan de la pluie et de l'eau; or, suivant la</w:t>
      </w:r>
      <w:r w:rsidRPr="009A6BD2">
        <w:rPr>
          <w:rFonts w:ascii="Times New Roman" w:hAnsi="Times New Roman" w:cs="Times"/>
        </w:rPr>
        <w:t xml:space="preserve"> tradition, cette opération aurait pour but de rendre les physionomies semblables à certains nuages noirs, avec des bords clairs, qui passent pour annoncer l'arrivée prochaine de la pluie et qui, pour cette raison, sont considérés comme des choses de la mê</w:t>
      </w:r>
      <w:r w:rsidRPr="009A6BD2">
        <w:rPr>
          <w:rFonts w:ascii="Times New Roman" w:hAnsi="Times New Roman" w:cs="Times"/>
        </w:rPr>
        <w:t>me famille </w:t>
      </w:r>
      <w:r w:rsidRPr="009A6BD2">
        <w:rPr>
          <w:rStyle w:val="Rimandonotaapidipagina"/>
          <w:rFonts w:ascii="Times" w:hAnsi="Times" w:cs="Times"/>
        </w:rPr>
        <w:footnoteReference w:id="82"/>
      </w:r>
      <w:r w:rsidRPr="009A6BD2">
        <w:rPr>
          <w:rFonts w:ascii="Times New Roman" w:hAnsi="Times New Roman" w:cs="Times"/>
        </w:rPr>
        <w:t>. C'est la preuve que l'indigène lui-même a conscience que ces déformations ont pour objet de lui donner, au moins conventionnelle</w:t>
      </w:r>
      <w:r w:rsidRPr="009A6BD2">
        <w:rPr>
          <w:rFonts w:ascii="Times" w:hAnsi="Times" w:cs="Times"/>
        </w:rPr>
        <w:softHyphen/>
      </w:r>
      <w:r w:rsidRPr="009A6BD2">
        <w:rPr>
          <w:rFonts w:ascii="Times New Roman" w:hAnsi="Times New Roman" w:cs="Times"/>
        </w:rPr>
        <w:t>ment, l'aspect de son totem. Chez ces mêmes Arunta, au cours des rites de la subincision, des entailles déterminé</w:t>
      </w:r>
      <w:r w:rsidRPr="009A6BD2">
        <w:rPr>
          <w:rFonts w:ascii="Times New Roman" w:hAnsi="Times New Roman" w:cs="Times"/>
        </w:rPr>
        <w:t xml:space="preserve">es sont pratiquées sur les sœurs et sur la future femme du novice; il en résulte des cicatrices dont la forme est également représentée sur un objet sacré, dont nous parlerons tout à l'heure, et qui est appelé le </w:t>
      </w:r>
      <w:r w:rsidRPr="009A6BD2">
        <w:rPr>
          <w:rFonts w:ascii="Times New Roman" w:hAnsi="Times New Roman" w:cs="Times"/>
          <w:i/>
          <w:iCs/>
        </w:rPr>
        <w:t xml:space="preserve">churinga </w:t>
      </w:r>
      <w:r w:rsidRPr="009A6BD2">
        <w:rPr>
          <w:rFonts w:ascii="Times New Roman" w:hAnsi="Times New Roman" w:cs="Times"/>
        </w:rPr>
        <w:t>; or nous verrons que les lignes a</w:t>
      </w:r>
      <w:r w:rsidRPr="009A6BD2">
        <w:rPr>
          <w:rFonts w:ascii="Times New Roman" w:hAnsi="Times New Roman" w:cs="Times"/>
        </w:rPr>
        <w:t xml:space="preserve">insi dessinées sur les </w:t>
      </w:r>
      <w:r w:rsidRPr="009A6BD2">
        <w:rPr>
          <w:rFonts w:ascii="Times New Roman" w:hAnsi="Times New Roman" w:cs="Times"/>
          <w:i/>
          <w:iCs/>
        </w:rPr>
        <w:t xml:space="preserve">churinga </w:t>
      </w:r>
      <w:r w:rsidRPr="009A6BD2">
        <w:rPr>
          <w:rFonts w:ascii="Times New Roman" w:hAnsi="Times New Roman" w:cs="Times"/>
        </w:rPr>
        <w:t>sont emblématiques du totem </w:t>
      </w:r>
      <w:r w:rsidRPr="009A6BD2">
        <w:rPr>
          <w:rStyle w:val="Rimandonotaapidipagina"/>
          <w:rFonts w:ascii="Times" w:hAnsi="Times" w:cs="Times"/>
        </w:rPr>
        <w:footnoteReference w:id="83"/>
      </w:r>
      <w:r w:rsidRPr="009A6BD2">
        <w:rPr>
          <w:rFonts w:ascii="Times New Roman" w:hAnsi="Times New Roman" w:cs="Times"/>
        </w:rPr>
        <w:t>. Chez les Kaitish, l'euro est considéré comme étroitement parent de la pluie </w:t>
      </w:r>
      <w:r w:rsidRPr="009A6BD2">
        <w:rPr>
          <w:rStyle w:val="Rimandonotaapidipagina"/>
          <w:rFonts w:ascii="Times" w:hAnsi="Times" w:cs="Times"/>
        </w:rPr>
        <w:footnoteReference w:id="84"/>
      </w:r>
      <w:r w:rsidRPr="009A6BD2">
        <w:rPr>
          <w:rFonts w:ascii="Times New Roman" w:hAnsi="Times New Roman" w:cs="Times"/>
        </w:rPr>
        <w:t>, les gens du clan de la pluie portent sur les oreilles de petits pendants faits de dents d'euro </w:t>
      </w:r>
      <w:r w:rsidRPr="009A6BD2">
        <w:rPr>
          <w:rStyle w:val="Rimandonotaapidipagina"/>
          <w:rFonts w:ascii="Times" w:hAnsi="Times" w:cs="Times"/>
        </w:rPr>
        <w:footnoteReference w:id="85"/>
      </w:r>
      <w:r w:rsidRPr="009A6BD2">
        <w:rPr>
          <w:rFonts w:ascii="Times New Roman" w:hAnsi="Times New Roman" w:cs="Times"/>
        </w:rPr>
        <w:t>. Chez les Yerkla,</w:t>
      </w:r>
      <w:r w:rsidRPr="009A6BD2">
        <w:rPr>
          <w:rFonts w:ascii="Times New Roman" w:hAnsi="Times New Roman" w:cs="Times"/>
        </w:rPr>
        <w:t xml:space="preserve"> pendant l'initiation, on inflige au jeune homme un certain nombre de balafres qui laissent des cicatrices : le nombre et la forme de ces cicatrices varient suivant les totems </w:t>
      </w:r>
      <w:r w:rsidRPr="009A6BD2">
        <w:rPr>
          <w:rStyle w:val="Rimandonotaapidipagina"/>
          <w:rFonts w:ascii="Times" w:hAnsi="Times" w:cs="Times"/>
        </w:rPr>
        <w:footnoteReference w:id="86"/>
      </w:r>
      <w:r w:rsidRPr="009A6BD2">
        <w:rPr>
          <w:rFonts w:ascii="Times New Roman" w:hAnsi="Times New Roman" w:cs="Times"/>
        </w:rPr>
        <w:t>. Un des informateurs de Fison signa</w:t>
      </w:r>
      <w:r w:rsidRPr="009A6BD2">
        <w:rPr>
          <w:rFonts w:ascii="Times" w:hAnsi="Times" w:cs="Times"/>
        </w:rPr>
        <w:softHyphen/>
      </w:r>
      <w:r w:rsidRPr="009A6BD2">
        <w:rPr>
          <w:rFonts w:ascii="Times New Roman" w:hAnsi="Times New Roman" w:cs="Times"/>
        </w:rPr>
        <w:t>le le même fait dans les tribus qu'il a ob</w:t>
      </w:r>
      <w:r w:rsidRPr="009A6BD2">
        <w:rPr>
          <w:rFonts w:ascii="Times New Roman" w:hAnsi="Times New Roman" w:cs="Times"/>
        </w:rPr>
        <w:t>servées </w:t>
      </w:r>
      <w:r w:rsidRPr="009A6BD2">
        <w:rPr>
          <w:rStyle w:val="Rimandonotaapidipagina"/>
          <w:rFonts w:ascii="Times" w:hAnsi="Times" w:cs="Times"/>
        </w:rPr>
        <w:footnoteReference w:id="87"/>
      </w:r>
      <w:r w:rsidRPr="009A6BD2">
        <w:rPr>
          <w:rFonts w:ascii="Times New Roman" w:hAnsi="Times New Roman" w:cs="Times"/>
        </w:rPr>
        <w:t>. D'après Howitt, une relation du même genre existerait, chez les Dieri, entre certaines scarifications et le totem de l'eau </w:t>
      </w:r>
      <w:r w:rsidRPr="009A6BD2">
        <w:rPr>
          <w:rStyle w:val="Rimandonotaapidipagina"/>
          <w:rFonts w:ascii="Times" w:hAnsi="Times" w:cs="Times"/>
        </w:rPr>
        <w:footnoteReference w:id="88"/>
      </w:r>
      <w:r w:rsidRPr="009A6BD2">
        <w:rPr>
          <w:rFonts w:ascii="Times New Roman" w:hAnsi="Times New Roman" w:cs="Times"/>
        </w:rPr>
        <w:t>. Quant aux Indiens du Nord-Ouest, l'usage de se tatouer le totem est, chez eux, d'une grande généralité </w:t>
      </w:r>
      <w:r w:rsidRPr="009A6BD2">
        <w:rPr>
          <w:rStyle w:val="Rimandonotaapidipagina"/>
          <w:rFonts w:ascii="Times" w:hAnsi="Times" w:cs="Times"/>
        </w:rPr>
        <w:footnoteReference w:id="89"/>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Mais si les</w:t>
      </w:r>
      <w:r w:rsidRPr="009A6BD2">
        <w:rPr>
          <w:rFonts w:ascii="Times New Roman" w:hAnsi="Times New Roman" w:cs="Times"/>
        </w:rPr>
        <w:t xml:space="preserve"> tatouages qui sont réalisés par voie de mutilations ou de scarifications n'ont pas toujours une signification totémique </w:t>
      </w:r>
      <w:r w:rsidRPr="009A6BD2">
        <w:rPr>
          <w:rStyle w:val="Rimandonotaapidipagina"/>
          <w:rFonts w:ascii="Times" w:hAnsi="Times" w:cs="Times"/>
        </w:rPr>
        <w:footnoteReference w:id="90"/>
      </w:r>
      <w:r w:rsidRPr="009A6BD2">
        <w:rPr>
          <w:rFonts w:ascii="Times New Roman" w:hAnsi="Times New Roman" w:cs="Times"/>
        </w:rPr>
        <w:t>, il en est autrement des simples dessins effectués sur le corps : ils sont, le plus généralement, représentatifs du totem. L'indigène</w:t>
      </w:r>
      <w:r w:rsidRPr="009A6BD2">
        <w:rPr>
          <w:rFonts w:ascii="Times New Roman" w:hAnsi="Times New Roman" w:cs="Times"/>
        </w:rPr>
        <w:t>, il est vrai, ne les porte pas d'une manière quotidienne. Quand il se livre à des occupations purement écono</w:t>
      </w:r>
      <w:r w:rsidRPr="009A6BD2">
        <w:rPr>
          <w:rFonts w:ascii="Times" w:hAnsi="Times" w:cs="Times"/>
        </w:rPr>
        <w:softHyphen/>
      </w:r>
      <w:r w:rsidRPr="009A6BD2">
        <w:rPr>
          <w:rFonts w:ascii="Times New Roman" w:hAnsi="Times New Roman" w:cs="Times"/>
        </w:rPr>
        <w:t>miques, quand les petits groupes familiaux se dispersent pour chasser et pour pêcher, il ne s'embarrasse pas de ce costume qui ne laisse pas d'êtr</w:t>
      </w:r>
      <w:r w:rsidRPr="009A6BD2">
        <w:rPr>
          <w:rFonts w:ascii="Times New Roman" w:hAnsi="Times New Roman" w:cs="Times"/>
        </w:rPr>
        <w:t xml:space="preserve">e compliqué. Mais, quand les clans se réunissent pour vivre d'une vie commune et vaquer ensemble aux cérémonies religieuses, il s'en pare obligatoirement. Chacune de ces cérémonies, comme nous le verrons, concerne un totem particulier et, en principe, les </w:t>
      </w:r>
      <w:r w:rsidRPr="009A6BD2">
        <w:rPr>
          <w:rFonts w:ascii="Times New Roman" w:hAnsi="Times New Roman" w:cs="Times"/>
        </w:rPr>
        <w:t>rites qui se rapportent à un totem ne peuvent être accomplis que par des gens de ce totem. Or, ceux qui opèrent </w:t>
      </w:r>
      <w:r w:rsidRPr="009A6BD2">
        <w:rPr>
          <w:rStyle w:val="Rimandonotaapidipagina"/>
          <w:rFonts w:ascii="Times" w:hAnsi="Times" w:cs="Times"/>
        </w:rPr>
        <w:footnoteReference w:id="91"/>
      </w:r>
      <w:r w:rsidRPr="009A6BD2">
        <w:rPr>
          <w:rFonts w:ascii="Times New Roman" w:hAnsi="Times New Roman" w:cs="Times"/>
        </w:rPr>
        <w:t>, qui jouent le rôle d'officiants, et même parfois ceux qui assistent comme spectateurs, portent toujours sur le corps des dessins qui figurent</w:t>
      </w:r>
      <w:r w:rsidRPr="009A6BD2">
        <w:rPr>
          <w:rFonts w:ascii="Times New Roman" w:hAnsi="Times New Roman" w:cs="Times"/>
        </w:rPr>
        <w:t xml:space="preserve"> le totem </w:t>
      </w:r>
      <w:r w:rsidRPr="009A6BD2">
        <w:rPr>
          <w:rStyle w:val="Rimandonotaapidipagina"/>
          <w:rFonts w:ascii="Times" w:hAnsi="Times" w:cs="Times"/>
        </w:rPr>
        <w:footnoteReference w:id="92"/>
      </w:r>
      <w:r w:rsidRPr="009A6BD2">
        <w:rPr>
          <w:rFonts w:ascii="Times New Roman" w:hAnsi="Times New Roman" w:cs="Times"/>
        </w:rPr>
        <w:t>. Un des rites principaux de l'initiation, celui qui fait entrer le jeune homme dans la vie religieuse de la tribu, consiste précisément à lui peindre sur le corps le symbole totémique </w:t>
      </w:r>
      <w:r w:rsidRPr="009A6BD2">
        <w:rPr>
          <w:rStyle w:val="Rimandonotaapidipagina"/>
          <w:rFonts w:ascii="Times" w:hAnsi="Times" w:cs="Times"/>
        </w:rPr>
        <w:footnoteReference w:id="93"/>
      </w:r>
      <w:r w:rsidRPr="009A6BD2">
        <w:rPr>
          <w:rFonts w:ascii="Times New Roman" w:hAnsi="Times New Roman" w:cs="Times"/>
        </w:rPr>
        <w:t>. Il est vrai que, chez les Arunta, le dessin ainsi tracé n</w:t>
      </w:r>
      <w:r w:rsidRPr="009A6BD2">
        <w:rPr>
          <w:rFonts w:ascii="Times New Roman" w:hAnsi="Times New Roman" w:cs="Times"/>
        </w:rPr>
        <w:t>e représente pas toujours et nécessairement le totem de l'initié </w:t>
      </w:r>
      <w:r w:rsidRPr="009A6BD2">
        <w:rPr>
          <w:rStyle w:val="Rimandonotaapidipagina"/>
          <w:rFonts w:ascii="Times" w:hAnsi="Times" w:cs="Times"/>
        </w:rPr>
        <w:footnoteReference w:id="94"/>
      </w:r>
      <w:r w:rsidRPr="009A6BD2">
        <w:rPr>
          <w:rFonts w:ascii="Times New Roman" w:hAnsi="Times New Roman" w:cs="Times"/>
        </w:rPr>
        <w:t xml:space="preserve"> ; mais c'est une exception, due sans doute à l'état de perturbation où se trouve l'organisation totémique de cette tribu </w:t>
      </w:r>
      <w:r w:rsidRPr="009A6BD2">
        <w:rPr>
          <w:rStyle w:val="Rimandonotaapidipagina"/>
          <w:rFonts w:ascii="Times" w:hAnsi="Times" w:cs="Times"/>
        </w:rPr>
        <w:footnoteReference w:id="95"/>
      </w:r>
      <w:r w:rsidRPr="009A6BD2">
        <w:rPr>
          <w:rFonts w:ascii="Times New Roman" w:hAnsi="Times New Roman" w:cs="Times"/>
        </w:rPr>
        <w:t xml:space="preserve">. Au </w:t>
      </w:r>
      <w:r w:rsidRPr="009A6BD2">
        <w:rPr>
          <w:rFonts w:ascii="Times New Roman" w:hAnsi="Times New Roman" w:cs="Times"/>
        </w:rPr>
        <w:lastRenderedPageBreak/>
        <w:t>reste, même chez les Arunta, au moment le plus solennel de l'i</w:t>
      </w:r>
      <w:r w:rsidRPr="009A6BD2">
        <w:rPr>
          <w:rFonts w:ascii="Times New Roman" w:hAnsi="Times New Roman" w:cs="Times"/>
        </w:rPr>
        <w:t>nitiation, puis qu'il en est le couronnement et la consécration, quand le néophyte est admis à pénétrer dans le sanctuaire où sont conservés tous les objets sacrés qui appartiennent au clan, on exécute sur lui une peinture emblématique : or cette fois c'es</w:t>
      </w:r>
      <w:r w:rsidRPr="009A6BD2">
        <w:rPr>
          <w:rFonts w:ascii="Times New Roman" w:hAnsi="Times New Roman" w:cs="Times"/>
        </w:rPr>
        <w:t>t le totem du jeune homme qui est ainsi représenté </w:t>
      </w:r>
      <w:r w:rsidRPr="009A6BD2">
        <w:rPr>
          <w:rStyle w:val="Rimandonotaapidipagina"/>
          <w:rFonts w:ascii="Times" w:hAnsi="Times" w:cs="Times"/>
        </w:rPr>
        <w:footnoteReference w:id="96"/>
      </w:r>
      <w:r w:rsidRPr="009A6BD2">
        <w:rPr>
          <w:rFonts w:ascii="Times New Roman" w:hAnsi="Times New Roman" w:cs="Times"/>
        </w:rPr>
        <w:t>. Les liens qui unissent l'individu à son totem sont même tellement étroits que, dans les tribus de la côte Nord-Ouest de l'Amérique du Nord, l'emblème du clan est peint non seulement sur les vivants, mai</w:t>
      </w:r>
      <w:r w:rsidRPr="009A6BD2">
        <w:rPr>
          <w:rFonts w:ascii="Times New Roman" w:hAnsi="Times New Roman" w:cs="Times"/>
        </w:rPr>
        <w:t>s même sur les morts : avant d'ensevelir le cadavre, on met sur lui la marque totémique </w:t>
      </w:r>
      <w:r w:rsidRPr="009A6BD2">
        <w:rPr>
          <w:rStyle w:val="Rimandonotaapidipagina"/>
          <w:rFonts w:ascii="Times" w:hAnsi="Times" w:cs="Times"/>
        </w:rPr>
        <w:footnoteReference w:id="9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9" w:name="livre_2_chap_1_3"/>
      <w:r w:rsidRPr="009A6BD2">
        <w:rPr>
          <w:rFonts w:ascii="Times New Roman" w:hAnsi="Times New Roman"/>
        </w:rPr>
        <w:t>III</w:t>
      </w:r>
    </w:p>
    <w:bookmarkEnd w:id="9"/>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Déjà ces décorations totémiques permettent de pressentir que le totem n'est pas seulement un nom et un emblème. C'es</w:t>
      </w:r>
      <w:r w:rsidRPr="009A6BD2">
        <w:rPr>
          <w:rFonts w:ascii="Times New Roman" w:hAnsi="Times New Roman" w:cs="Times"/>
        </w:rPr>
        <w:t>t au cours de cérémonies religieuses qu'elles sont le totem, en même temps qu'il est une étiquette collective, a un caractère religieux. Et en effet, c'est par rapport à lui que les choses sont classées en sacrées et en profanes. Il est le type même des ch</w:t>
      </w:r>
      <w:r w:rsidRPr="009A6BD2">
        <w:rPr>
          <w:rFonts w:ascii="Times New Roman" w:hAnsi="Times New Roman" w:cs="Times"/>
        </w:rPr>
        <w:t>oses sacrées.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Les tribus de l'Australie centrale, principalement les Arunta, les Loritja, les Kaitish, les Unmatjera, les Ilpirra </w:t>
      </w:r>
      <w:r w:rsidRPr="009A6BD2">
        <w:rPr>
          <w:rStyle w:val="Rimandonotaapidipagina"/>
          <w:rFonts w:ascii="Times" w:hAnsi="Times" w:cs="Times"/>
        </w:rPr>
        <w:footnoteReference w:id="98"/>
      </w:r>
      <w:r w:rsidRPr="009A6BD2">
        <w:rPr>
          <w:rFonts w:ascii="Times New Roman" w:hAnsi="Times New Roman" w:cs="Times"/>
        </w:rPr>
        <w:t>, se servent constamment dans leurs rites de certains instruments qui, chez les Arunta, sont appelés suivant Spencer et GILL</w:t>
      </w:r>
      <w:r w:rsidRPr="009A6BD2">
        <w:rPr>
          <w:rFonts w:ascii="Times New Roman" w:hAnsi="Times New Roman" w:cs="Times"/>
        </w:rPr>
        <w:t xml:space="preserve">EN des </w:t>
      </w:r>
      <w:r w:rsidRPr="009A6BD2">
        <w:rPr>
          <w:rFonts w:ascii="Times New Roman" w:hAnsi="Times New Roman" w:cs="Times"/>
          <w:i/>
          <w:iCs/>
        </w:rPr>
        <w:t xml:space="preserve">churinga, </w:t>
      </w:r>
      <w:r w:rsidRPr="009A6BD2">
        <w:rPr>
          <w:rFonts w:ascii="Times New Roman" w:hAnsi="Times New Roman" w:cs="Times"/>
        </w:rPr>
        <w:t xml:space="preserve">et, suivant Strehlow, des </w:t>
      </w:r>
      <w:r w:rsidRPr="009A6BD2">
        <w:rPr>
          <w:rFonts w:ascii="Times New Roman" w:hAnsi="Times New Roman" w:cs="Times"/>
          <w:i/>
          <w:iCs/>
        </w:rPr>
        <w:t>tjurunga</w:t>
      </w:r>
      <w:r w:rsidRPr="009A6BD2">
        <w:rPr>
          <w:rFonts w:ascii="Times New Roman" w:hAnsi="Times New Roman" w:cs="Times"/>
        </w:rPr>
        <w:t> </w:t>
      </w:r>
      <w:r w:rsidRPr="009A6BD2">
        <w:rPr>
          <w:rStyle w:val="Rimandonotaapidipagina"/>
          <w:rFonts w:ascii="Times" w:hAnsi="Times" w:cs="Times"/>
        </w:rPr>
        <w:footnoteReference w:id="99"/>
      </w:r>
      <w:r w:rsidRPr="009A6BD2">
        <w:rPr>
          <w:rFonts w:ascii="Times New Roman" w:hAnsi="Times New Roman" w:cs="Times"/>
        </w:rPr>
        <w:t>. Ce sont des pièces de bois ou des morceaux de pierre polie, de formes très variées, mais généralement ovales ou allongées </w:t>
      </w:r>
      <w:r w:rsidRPr="009A6BD2">
        <w:rPr>
          <w:rStyle w:val="Rimandonotaapidipagina"/>
          <w:rFonts w:ascii="Times" w:hAnsi="Times" w:cs="Times"/>
        </w:rPr>
        <w:footnoteReference w:id="100"/>
      </w:r>
      <w:r w:rsidRPr="009A6BD2">
        <w:rPr>
          <w:rFonts w:ascii="Times New Roman" w:hAnsi="Times New Roman" w:cs="Times"/>
        </w:rPr>
        <w:t xml:space="preserve">. Chaque groupe totémique en possède une collection plus ou moins importante. </w:t>
      </w:r>
      <w:r w:rsidRPr="009A6BD2">
        <w:rPr>
          <w:rFonts w:ascii="Times New Roman" w:hAnsi="Times New Roman" w:cs="Times"/>
          <w:i/>
          <w:iCs/>
        </w:rPr>
        <w:t xml:space="preserve">Or, sur chacun d'eux, se trouve gravé un dessin qui représente le totem de ce même </w:t>
      </w:r>
      <w:r w:rsidRPr="009A6BD2">
        <w:rPr>
          <w:rFonts w:ascii="Times New Roman" w:hAnsi="Times New Roman" w:cs="Times"/>
        </w:rPr>
        <w:t>groupe </w:t>
      </w:r>
      <w:r w:rsidRPr="009A6BD2">
        <w:rPr>
          <w:rStyle w:val="Rimandonotaapidipagina"/>
          <w:rFonts w:ascii="Times" w:hAnsi="Times" w:cs="Times"/>
        </w:rPr>
        <w:footnoteReference w:id="101"/>
      </w:r>
      <w:r w:rsidRPr="009A6BD2">
        <w:rPr>
          <w:rFonts w:ascii="Times New Roman" w:hAnsi="Times New Roman" w:cs="Times"/>
        </w:rPr>
        <w:t xml:space="preserve">. Un certain nombre de ces churinga sont percés, à l'une de leurs extrémités, d'un trou par lequel passe un fil, fait de cheveux humains ou de poils d'opossum. Ceux </w:t>
      </w:r>
      <w:r w:rsidRPr="009A6BD2">
        <w:rPr>
          <w:rFonts w:ascii="Times New Roman" w:hAnsi="Times New Roman" w:cs="Times"/>
        </w:rPr>
        <w:t xml:space="preserve">de ces objets qui sont en bois et qui sont percés de cette manière servent exactement aux mêmes fins que ces instruments du culte auxquels les ethnographes anglais ont donné le nom de </w:t>
      </w:r>
      <w:r w:rsidRPr="009A6BD2">
        <w:rPr>
          <w:rFonts w:ascii="Times New Roman" w:hAnsi="Times New Roman" w:cs="Times"/>
          <w:i/>
          <w:iCs/>
        </w:rPr>
        <w:t xml:space="preserve">bull-roarers. Au </w:t>
      </w:r>
      <w:r w:rsidRPr="009A6BD2">
        <w:rPr>
          <w:rFonts w:ascii="Times New Roman" w:hAnsi="Times New Roman" w:cs="Times"/>
        </w:rPr>
        <w:t>moyen du lien auquel ils sont suspendus, on les fait ra</w:t>
      </w:r>
      <w:r w:rsidRPr="009A6BD2">
        <w:rPr>
          <w:rFonts w:ascii="Times New Roman" w:hAnsi="Times New Roman" w:cs="Times"/>
        </w:rPr>
        <w:t xml:space="preserve">pidement tournoyer dans l'air de manière à produire une sorte de ronflement identique à celui que font entendre les </w:t>
      </w:r>
      <w:r w:rsidRPr="009A6BD2">
        <w:rPr>
          <w:rFonts w:ascii="Times New Roman" w:hAnsi="Times New Roman" w:cs="Times"/>
          <w:i/>
          <w:iCs/>
        </w:rPr>
        <w:t xml:space="preserve">diables </w:t>
      </w:r>
      <w:r w:rsidRPr="009A6BD2">
        <w:rPr>
          <w:rFonts w:ascii="Times New Roman" w:hAnsi="Times New Roman" w:cs="Times"/>
        </w:rPr>
        <w:t>qui servent encore aujourd'hui de jouets à nos enfants ; ce bruit assourdissant a une signification rituelle et accompagne toutes le</w:t>
      </w:r>
      <w:r w:rsidRPr="009A6BD2">
        <w:rPr>
          <w:rFonts w:ascii="Times New Roman" w:hAnsi="Times New Roman" w:cs="Times"/>
        </w:rPr>
        <w:t xml:space="preserve">s cérémonies de quelque importance. Ces sortes de churinga sont donc de véritables </w:t>
      </w:r>
      <w:r w:rsidRPr="009A6BD2">
        <w:rPr>
          <w:rFonts w:ascii="Times New Roman" w:hAnsi="Times New Roman" w:cs="Times"/>
          <w:i/>
          <w:iCs/>
        </w:rPr>
        <w:t xml:space="preserve">bull-roarers. </w:t>
      </w:r>
      <w:r w:rsidRPr="009A6BD2">
        <w:rPr>
          <w:rFonts w:ascii="Times New Roman" w:hAnsi="Times New Roman" w:cs="Times"/>
        </w:rPr>
        <w:t>Mais il en est d'autres qui ne sont pas en bois ou qui ne sont pas percés ; par conséquent, ils ne peuvent être employés de cette manière. Ils inspirent cepend</w:t>
      </w:r>
      <w:r w:rsidRPr="009A6BD2">
        <w:rPr>
          <w:rFonts w:ascii="Times New Roman" w:hAnsi="Times New Roman" w:cs="Times"/>
        </w:rPr>
        <w:t>ant les mêmes sentiments de respect religieux.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 churinga, en effet, à quelque fin qu'il soit employé, compte parmi les choses les plus éminemment sacrées, il n'en est même aucune qui le dépasse en dignité religieuse. C'est déjà ce qu'indique le mot qu</w:t>
      </w:r>
      <w:r w:rsidRPr="009A6BD2">
        <w:rPr>
          <w:rFonts w:ascii="Times New Roman" w:hAnsi="Times New Roman" w:cs="Times"/>
        </w:rPr>
        <w:t>i sert à le désigner. En même temps qu'un substantif, c'est aussi un adjectif qui signifie sacré. Ainsi, parmi les noms que porte chaque Arunta, il en est un si sacré qu'il est interdit de le révéler à un étranger ; on ne le prononce que rarement, à voix b</w:t>
      </w:r>
      <w:r w:rsidRPr="009A6BD2">
        <w:rPr>
          <w:rFonts w:ascii="Times New Roman" w:hAnsi="Times New Roman" w:cs="Times"/>
        </w:rPr>
        <w:t xml:space="preserve">asse, dans une sorte de murmure mystérieux. Or, ce nom s'appelle </w:t>
      </w:r>
      <w:r w:rsidRPr="009A6BD2">
        <w:rPr>
          <w:rFonts w:ascii="Times New Roman" w:hAnsi="Times New Roman" w:cs="Times"/>
          <w:i/>
          <w:iCs/>
        </w:rPr>
        <w:t xml:space="preserve">aritna churinga (aritna </w:t>
      </w:r>
      <w:r w:rsidRPr="009A6BD2">
        <w:rPr>
          <w:rFonts w:ascii="Times New Roman" w:hAnsi="Times New Roman" w:cs="Times"/>
        </w:rPr>
        <w:t>veut dire nom) </w:t>
      </w:r>
      <w:r w:rsidRPr="009A6BD2">
        <w:rPr>
          <w:rStyle w:val="Rimandonotaapidipagina"/>
          <w:rFonts w:ascii="Times" w:hAnsi="Times" w:cs="Times"/>
        </w:rPr>
        <w:footnoteReference w:id="102"/>
      </w:r>
      <w:r w:rsidRPr="009A6BD2">
        <w:rPr>
          <w:rFonts w:ascii="Times New Roman" w:hAnsi="Times New Roman" w:cs="Times"/>
        </w:rPr>
        <w:t xml:space="preserve">. Plus généralement, le mot de churinga désigne tous les actes rituels ; par exemple, </w:t>
      </w:r>
      <w:r w:rsidRPr="009A6BD2">
        <w:rPr>
          <w:rFonts w:ascii="Times New Roman" w:hAnsi="Times New Roman" w:cs="Times"/>
          <w:i/>
          <w:iCs/>
        </w:rPr>
        <w:t xml:space="preserve">ilia churinga </w:t>
      </w:r>
      <w:r w:rsidRPr="009A6BD2">
        <w:rPr>
          <w:rFonts w:ascii="Times New Roman" w:hAnsi="Times New Roman" w:cs="Times"/>
        </w:rPr>
        <w:t>signifie le culte de l'Émou </w:t>
      </w:r>
      <w:r w:rsidRPr="009A6BD2">
        <w:rPr>
          <w:rStyle w:val="Rimandonotaapidipagina"/>
          <w:rFonts w:ascii="Times" w:hAnsi="Times" w:cs="Times"/>
        </w:rPr>
        <w:footnoteReference w:id="103"/>
      </w:r>
      <w:r w:rsidRPr="009A6BD2">
        <w:rPr>
          <w:rFonts w:ascii="Times New Roman" w:hAnsi="Times New Roman" w:cs="Times"/>
        </w:rPr>
        <w:t>. Le churinga tout cou</w:t>
      </w:r>
      <w:r w:rsidRPr="009A6BD2">
        <w:rPr>
          <w:rFonts w:ascii="Times New Roman" w:hAnsi="Times New Roman" w:cs="Times"/>
        </w:rPr>
        <w:t>rt, employé substan</w:t>
      </w:r>
      <w:r w:rsidRPr="009A6BD2">
        <w:rPr>
          <w:rFonts w:ascii="Times" w:hAnsi="Times" w:cs="Times"/>
        </w:rPr>
        <w:softHyphen/>
      </w:r>
      <w:r w:rsidRPr="009A6BD2">
        <w:rPr>
          <w:rFonts w:ascii="Times New Roman" w:hAnsi="Times New Roman" w:cs="Times"/>
        </w:rPr>
        <w:t>ti</w:t>
      </w:r>
      <w:r w:rsidRPr="009A6BD2">
        <w:rPr>
          <w:rFonts w:ascii="Times" w:hAnsi="Times" w:cs="Times"/>
        </w:rPr>
        <w:softHyphen/>
      </w:r>
      <w:r w:rsidRPr="009A6BD2">
        <w:rPr>
          <w:rFonts w:ascii="Times New Roman" w:hAnsi="Times New Roman" w:cs="Times"/>
        </w:rPr>
        <w:t>vement, c'est donc la chose qui a pour caractéristique essentielle d'être sacrée. Aussi les profanes, c'est-à-dire les femmes et les jeunes gens non encore initiés à la vie religieuse, ne peuvent-ils toucher ni même voir les churinga</w:t>
      </w:r>
      <w:r w:rsidRPr="009A6BD2">
        <w:rPr>
          <w:rFonts w:ascii="Times New Roman" w:hAnsi="Times New Roman" w:cs="Times"/>
        </w:rPr>
        <w:t>; il leur est seulement permis de les regarder de loin, et encore est-ce dans de rares circonstances </w:t>
      </w:r>
      <w:r w:rsidRPr="009A6BD2">
        <w:rPr>
          <w:rStyle w:val="Rimandonotaapidipagina"/>
          <w:rFonts w:ascii="Times" w:hAnsi="Times" w:cs="Times"/>
        </w:rPr>
        <w:footnoteReference w:id="10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Les churinga sont conservés pieusement dans un lieu spécial qui est appelé chez les Arunta </w:t>
      </w:r>
      <w:r w:rsidRPr="009A6BD2">
        <w:rPr>
          <w:rFonts w:ascii="Times New Roman" w:hAnsi="Times New Roman" w:cs="Times"/>
          <w:i/>
          <w:iCs/>
        </w:rPr>
        <w:t>l'ertnatunga</w:t>
      </w:r>
      <w:r w:rsidRPr="009A6BD2">
        <w:rPr>
          <w:rFonts w:ascii="Times New Roman" w:hAnsi="Times New Roman" w:cs="Times"/>
        </w:rPr>
        <w:t> </w:t>
      </w:r>
      <w:r w:rsidRPr="009A6BD2">
        <w:rPr>
          <w:rStyle w:val="Rimandonotaapidipagina"/>
          <w:rFonts w:ascii="Times" w:hAnsi="Times" w:cs="Times"/>
        </w:rPr>
        <w:footnoteReference w:id="105"/>
      </w:r>
      <w:r w:rsidRPr="009A6BD2">
        <w:rPr>
          <w:rFonts w:ascii="Times New Roman" w:hAnsi="Times New Roman" w:cs="Times"/>
        </w:rPr>
        <w:t>. C'est une cavité, une sorte de petit souterr</w:t>
      </w:r>
      <w:r w:rsidRPr="009A6BD2">
        <w:rPr>
          <w:rFonts w:ascii="Times New Roman" w:hAnsi="Times New Roman" w:cs="Times"/>
        </w:rPr>
        <w:t>ain dissimulé dans un endroit désert. L'entrée en est soigneusement fermée au moyen de pierres si habilement disposées que l'étranger qui passe à côté ne peut pas soupçonner que, près de lui, se trouve le trésor religieux du clan. Le caractère sacré des ch</w:t>
      </w:r>
      <w:r w:rsidRPr="009A6BD2">
        <w:rPr>
          <w:rFonts w:ascii="Times New Roman" w:hAnsi="Times New Roman" w:cs="Times"/>
        </w:rPr>
        <w:t>uringa est tel qu'il se communique au lieu où ils sont ainsi déposés : les femmes, les non-initiés ne peuvent en approcher. C'est seulement quand l'initiation est complètement terminée que les jeunes gens en ont l'accès : encore en est-il qui ne sont jugés</w:t>
      </w:r>
      <w:r w:rsidRPr="009A6BD2">
        <w:rPr>
          <w:rFonts w:ascii="Times New Roman" w:hAnsi="Times New Roman" w:cs="Times"/>
        </w:rPr>
        <w:t xml:space="preserve"> dignes de cette faveur qu'après plusieurs années d'épreuves </w:t>
      </w:r>
      <w:r w:rsidRPr="009A6BD2">
        <w:rPr>
          <w:rStyle w:val="Rimandonotaapidipagina"/>
          <w:rFonts w:ascii="Times" w:hAnsi="Times" w:cs="Times"/>
        </w:rPr>
        <w:footnoteReference w:id="106"/>
      </w:r>
      <w:r w:rsidRPr="009A6BD2">
        <w:rPr>
          <w:rFonts w:ascii="Times New Roman" w:hAnsi="Times New Roman" w:cs="Times"/>
        </w:rPr>
        <w:t>. La religiosité du lieu rayonne même au delà et se communique à tout l'entourage : tout ce qui s'y trouve participe du même caractère et, pour cette raison, est soustrait aux atteintes profanes</w:t>
      </w:r>
      <w:r w:rsidRPr="009A6BD2">
        <w:rPr>
          <w:rFonts w:ascii="Times New Roman" w:hAnsi="Times New Roman" w:cs="Times"/>
        </w:rPr>
        <w:t>. Un homme est-il poursuivi par un autre ? S'il parvient jusqu'à l'ertnatulunga, il est sauvé, on ne peut l'y saisir </w:t>
      </w:r>
      <w:r w:rsidRPr="009A6BD2">
        <w:rPr>
          <w:rStyle w:val="Rimandonotaapidipagina"/>
          <w:rFonts w:ascii="Times" w:hAnsi="Times" w:cs="Times"/>
        </w:rPr>
        <w:footnoteReference w:id="107"/>
      </w:r>
      <w:r w:rsidRPr="009A6BD2">
        <w:rPr>
          <w:rFonts w:ascii="Times New Roman" w:hAnsi="Times New Roman" w:cs="Times"/>
        </w:rPr>
        <w:t>. Même un animal blessé qui s'y réfugie doit être respecté </w:t>
      </w:r>
      <w:r w:rsidRPr="009A6BD2">
        <w:rPr>
          <w:rStyle w:val="Rimandonotaapidipagina"/>
          <w:rFonts w:ascii="Times" w:hAnsi="Times" w:cs="Times"/>
        </w:rPr>
        <w:footnoteReference w:id="108"/>
      </w:r>
      <w:r w:rsidRPr="009A6BD2">
        <w:rPr>
          <w:rFonts w:ascii="Times New Roman" w:hAnsi="Times New Roman" w:cs="Times"/>
        </w:rPr>
        <w:t>. Les querelles y sont interdites. C'est un lieu de paix, comme on dira dans l</w:t>
      </w:r>
      <w:r w:rsidRPr="009A6BD2">
        <w:rPr>
          <w:rFonts w:ascii="Times New Roman" w:hAnsi="Times New Roman" w:cs="Times"/>
        </w:rPr>
        <w:t>es sociétés germaniques, c'est le sanctuaire du groupe totémique, c'est un véritable lieu d'asile.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les vertus du churinga ne se manifestent pas seulement par la manière dont il tient le profane à distance. S'il est ainsi isolé, c'est qu'il est une ch</w:t>
      </w:r>
      <w:r w:rsidRPr="009A6BD2">
        <w:rPr>
          <w:rFonts w:ascii="Times New Roman" w:hAnsi="Times New Roman" w:cs="Times"/>
        </w:rPr>
        <w:t>ose de haute valeur religieuse et dont la perte lèserait gravement la collectivité et les individus. Il a toute sorte de propriétés merveilleuses : par attouchement, il guérit les blessures, notamment celles qui résultent de la circoncision </w:t>
      </w:r>
      <w:r w:rsidRPr="009A6BD2">
        <w:rPr>
          <w:rStyle w:val="Rimandonotaapidipagina"/>
          <w:rFonts w:ascii="Times" w:hAnsi="Times" w:cs="Times"/>
        </w:rPr>
        <w:footnoteReference w:id="109"/>
      </w:r>
      <w:r w:rsidRPr="009A6BD2">
        <w:rPr>
          <w:rFonts w:ascii="Times New Roman" w:hAnsi="Times New Roman" w:cs="Times"/>
        </w:rPr>
        <w:t xml:space="preserve"> ; il a la mêm</w:t>
      </w:r>
      <w:r w:rsidRPr="009A6BD2">
        <w:rPr>
          <w:rFonts w:ascii="Times New Roman" w:hAnsi="Times New Roman" w:cs="Times"/>
        </w:rPr>
        <w:t>e efficacité contre la maladie </w:t>
      </w:r>
      <w:r w:rsidRPr="009A6BD2">
        <w:rPr>
          <w:rStyle w:val="Rimandonotaapidipagina"/>
          <w:rFonts w:ascii="Times" w:hAnsi="Times" w:cs="Times"/>
        </w:rPr>
        <w:footnoteReference w:id="110"/>
      </w:r>
      <w:r w:rsidRPr="009A6BD2">
        <w:rPr>
          <w:rFonts w:ascii="Times New Roman" w:hAnsi="Times New Roman" w:cs="Times"/>
        </w:rPr>
        <w:t xml:space="preserve"> ; il sert à faire pousser la barbe </w:t>
      </w:r>
      <w:r w:rsidRPr="009A6BD2">
        <w:rPr>
          <w:rStyle w:val="Rimandonotaapidipagina"/>
          <w:rFonts w:ascii="Times" w:hAnsi="Times" w:cs="Times"/>
        </w:rPr>
        <w:footnoteReference w:id="111"/>
      </w:r>
      <w:r w:rsidRPr="009A6BD2">
        <w:rPr>
          <w:rFonts w:ascii="Times New Roman" w:hAnsi="Times New Roman" w:cs="Times"/>
        </w:rPr>
        <w:t xml:space="preserve"> ; il con</w:t>
      </w:r>
      <w:r w:rsidRPr="009A6BD2">
        <w:rPr>
          <w:rFonts w:ascii="Times" w:hAnsi="Times" w:cs="Times"/>
        </w:rPr>
        <w:softHyphen/>
      </w:r>
      <w:r w:rsidRPr="009A6BD2">
        <w:rPr>
          <w:rFonts w:ascii="Times New Roman" w:hAnsi="Times New Roman" w:cs="Times"/>
        </w:rPr>
        <w:t>frère d'importants pouvoirs sur l'espèce totémique dont il assure la reproduction nor</w:t>
      </w:r>
      <w:r w:rsidRPr="009A6BD2">
        <w:rPr>
          <w:rFonts w:ascii="Times" w:hAnsi="Times" w:cs="Times"/>
        </w:rPr>
        <w:softHyphen/>
      </w:r>
      <w:r w:rsidRPr="009A6BD2">
        <w:rPr>
          <w:rFonts w:ascii="Times New Roman" w:hAnsi="Times New Roman" w:cs="Times"/>
        </w:rPr>
        <w:t>male </w:t>
      </w:r>
      <w:r w:rsidRPr="009A6BD2">
        <w:rPr>
          <w:rStyle w:val="Rimandonotaapidipagina"/>
          <w:rFonts w:ascii="Times" w:hAnsi="Times" w:cs="Times"/>
        </w:rPr>
        <w:footnoteReference w:id="112"/>
      </w:r>
      <w:r w:rsidRPr="009A6BD2">
        <w:rPr>
          <w:rFonts w:ascii="Times New Roman" w:hAnsi="Times New Roman" w:cs="Times"/>
        </w:rPr>
        <w:t>; il donne aux hommes force, courage, persévérance, déprime, au contraire, et affaibl</w:t>
      </w:r>
      <w:r w:rsidRPr="009A6BD2">
        <w:rPr>
          <w:rFonts w:ascii="Times New Roman" w:hAnsi="Times New Roman" w:cs="Times"/>
        </w:rPr>
        <w:t>it leurs ennemis. Cette dernière croyance est même si fortement enracinée que si, quand deux com</w:t>
      </w:r>
      <w:r w:rsidRPr="009A6BD2">
        <w:rPr>
          <w:rFonts w:ascii="Times" w:hAnsi="Times" w:cs="Times"/>
        </w:rPr>
        <w:softHyphen/>
      </w:r>
      <w:r w:rsidRPr="009A6BD2">
        <w:rPr>
          <w:rFonts w:ascii="Times New Roman" w:hAnsi="Times New Roman" w:cs="Times"/>
        </w:rPr>
        <w:t>bat</w:t>
      </w:r>
      <w:r w:rsidRPr="009A6BD2">
        <w:rPr>
          <w:rFonts w:ascii="Times" w:hAnsi="Times" w:cs="Times"/>
        </w:rPr>
        <w:softHyphen/>
      </w:r>
      <w:r w:rsidRPr="009A6BD2">
        <w:rPr>
          <w:rFonts w:ascii="Times New Roman" w:hAnsi="Times New Roman" w:cs="Times"/>
        </w:rPr>
        <w:t>tants sont aux prises, l'un d'eux vient à s'apercevoir que son adversaire porte des churinga sur lui, il perd aussitôt confiance et sa défaite est certaine</w:t>
      </w:r>
      <w:r w:rsidRPr="009A6BD2">
        <w:rPr>
          <w:rFonts w:ascii="Times New Roman" w:hAnsi="Times New Roman" w:cs="Times"/>
        </w:rPr>
        <w:t> </w:t>
      </w:r>
      <w:r w:rsidRPr="009A6BD2">
        <w:rPr>
          <w:rStyle w:val="Rimandonotaapidipagina"/>
          <w:rFonts w:ascii="Times" w:hAnsi="Times" w:cs="Times"/>
        </w:rPr>
        <w:footnoteReference w:id="113"/>
      </w:r>
      <w:r w:rsidRPr="009A6BD2">
        <w:rPr>
          <w:rFonts w:ascii="Times New Roman" w:hAnsi="Times New Roman" w:cs="Times"/>
        </w:rPr>
        <w:t>. Aussi n'y a-t-il pas d'instrument rituel qui tienne une place plus importante dans les cérémonies religieuses </w:t>
      </w:r>
      <w:r w:rsidRPr="009A6BD2">
        <w:rPr>
          <w:rStyle w:val="Rimandonotaapidipagina"/>
          <w:rFonts w:ascii="Times" w:hAnsi="Times" w:cs="Times"/>
        </w:rPr>
        <w:footnoteReference w:id="114"/>
      </w:r>
      <w:r w:rsidRPr="009A6BD2">
        <w:rPr>
          <w:rFonts w:ascii="Times New Roman" w:hAnsi="Times New Roman" w:cs="Times"/>
        </w:rPr>
        <w:t>. Par des sortes d'onctions, on communique leurs pouvoirs soit aux officiants soit aux assistants ; pour cela après les avoir enduits de grai</w:t>
      </w:r>
      <w:r w:rsidRPr="009A6BD2">
        <w:rPr>
          <w:rFonts w:ascii="Times New Roman" w:hAnsi="Times New Roman" w:cs="Times"/>
        </w:rPr>
        <w:t>sse, on les frotte contre les membres, contre l'estomac des fidèles </w:t>
      </w:r>
      <w:r w:rsidRPr="009A6BD2">
        <w:rPr>
          <w:rStyle w:val="Rimandonotaapidipagina"/>
          <w:rFonts w:ascii="Times" w:hAnsi="Times" w:cs="Times"/>
        </w:rPr>
        <w:footnoteReference w:id="115"/>
      </w:r>
      <w:r w:rsidRPr="009A6BD2">
        <w:rPr>
          <w:rFonts w:ascii="Times New Roman" w:hAnsi="Times New Roman" w:cs="Times"/>
        </w:rPr>
        <w:t>. Ou bien on les recouvre d'un duvet qui s'envole et se disperse dans toutes les directions quand on les fait tournoyer ; c'est une manière de disséminer les vertus qui sont en eux </w:t>
      </w:r>
      <w:r w:rsidRPr="009A6BD2">
        <w:rPr>
          <w:rStyle w:val="Rimandonotaapidipagina"/>
          <w:rFonts w:ascii="Times" w:hAnsi="Times" w:cs="Times"/>
        </w:rPr>
        <w:footnoteReference w:id="116"/>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w:t>
      </w:r>
      <w:r w:rsidRPr="009A6BD2">
        <w:rPr>
          <w:rFonts w:ascii="Times New Roman" w:hAnsi="Times New Roman" w:cs="Times"/>
        </w:rPr>
        <w:t>is ils ne sont pas seulement utiles aux individus ; le sort du clan tout entier est collecti</w:t>
      </w:r>
      <w:r w:rsidRPr="009A6BD2">
        <w:rPr>
          <w:rFonts w:ascii="Times" w:hAnsi="Times" w:cs="Times"/>
        </w:rPr>
        <w:softHyphen/>
      </w:r>
      <w:r w:rsidRPr="009A6BD2">
        <w:rPr>
          <w:rFonts w:ascii="Times New Roman" w:hAnsi="Times New Roman" w:cs="Times"/>
        </w:rPr>
        <w:t>ve</w:t>
      </w:r>
      <w:r w:rsidRPr="009A6BD2">
        <w:rPr>
          <w:rFonts w:ascii="Times" w:hAnsi="Times" w:cs="Times"/>
        </w:rPr>
        <w:softHyphen/>
      </w:r>
      <w:r w:rsidRPr="009A6BD2">
        <w:rPr>
          <w:rFonts w:ascii="Times New Roman" w:hAnsi="Times New Roman" w:cs="Times"/>
        </w:rPr>
        <w:t>ment lié au leur. Leur perte est un désastre ; c'est le plus grand malheur qui puisse arriver au groupe </w:t>
      </w:r>
      <w:r w:rsidRPr="009A6BD2">
        <w:rPr>
          <w:rStyle w:val="Rimandonotaapidipagina"/>
          <w:rFonts w:ascii="Times" w:hAnsi="Times" w:cs="Times"/>
        </w:rPr>
        <w:footnoteReference w:id="117"/>
      </w:r>
      <w:r w:rsidRPr="009A6BD2">
        <w:rPr>
          <w:rFonts w:ascii="Times New Roman" w:hAnsi="Times New Roman" w:cs="Times"/>
        </w:rPr>
        <w:t xml:space="preserve">. Ils quittent quelquefois l'ertnatulunga, par exemple </w:t>
      </w:r>
      <w:r w:rsidRPr="009A6BD2">
        <w:rPr>
          <w:rFonts w:ascii="Times New Roman" w:hAnsi="Times New Roman" w:cs="Times"/>
        </w:rPr>
        <w:t>quand ils sont prêtés à quelque groupe étranger </w:t>
      </w:r>
      <w:r w:rsidRPr="009A6BD2">
        <w:rPr>
          <w:rStyle w:val="Rimandonotaapidipagina"/>
          <w:rFonts w:ascii="Times" w:hAnsi="Times" w:cs="Times"/>
        </w:rPr>
        <w:footnoteReference w:id="118"/>
      </w:r>
      <w:r w:rsidRPr="009A6BD2">
        <w:rPr>
          <w:rFonts w:ascii="Times New Roman" w:hAnsi="Times New Roman" w:cs="Times"/>
        </w:rPr>
        <w:t>. C'est alors un véritable deuil public. Pendant deux semaines, les gens du totem pleurent, se lamentent, le corps enduit de terre d'argile blanche, comme ils font quand ils ont perdu quelqu'un de leurs proc</w:t>
      </w:r>
      <w:r w:rsidRPr="009A6BD2">
        <w:rPr>
          <w:rFonts w:ascii="Times New Roman" w:hAnsi="Times New Roman" w:cs="Times"/>
        </w:rPr>
        <w:t>hes </w:t>
      </w:r>
      <w:r w:rsidRPr="009A6BD2">
        <w:rPr>
          <w:rStyle w:val="Rimandonotaapidipagina"/>
          <w:rFonts w:ascii="Times" w:hAnsi="Times" w:cs="Times"/>
        </w:rPr>
        <w:footnoteReference w:id="119"/>
      </w:r>
      <w:r w:rsidRPr="009A6BD2">
        <w:rPr>
          <w:rFonts w:ascii="Times New Roman" w:hAnsi="Times New Roman" w:cs="Times"/>
        </w:rPr>
        <w:t>. Aussi les churinga ne sont-ils pas laissés à la libre disposition des particuliers; l'ertnatulunga où ils sont conservés est placé sous le contrôle du chef du groupe. Sans doute, chaque individu a, sur certains d'entre eux, des droits spéciaux </w:t>
      </w:r>
      <w:r w:rsidRPr="009A6BD2">
        <w:rPr>
          <w:rStyle w:val="Rimandonotaapidipagina"/>
          <w:rFonts w:ascii="Times" w:hAnsi="Times" w:cs="Times"/>
        </w:rPr>
        <w:footnoteReference w:id="120"/>
      </w:r>
      <w:r w:rsidRPr="009A6BD2">
        <w:rPr>
          <w:rFonts w:ascii="Times New Roman" w:hAnsi="Times New Roman" w:cs="Times"/>
        </w:rPr>
        <w:t xml:space="preserve"> ; c</w:t>
      </w:r>
      <w:r w:rsidRPr="009A6BD2">
        <w:rPr>
          <w:rFonts w:ascii="Times New Roman" w:hAnsi="Times New Roman" w:cs="Times"/>
        </w:rPr>
        <w:t>ependant, bien qu'il en soit, dans une certaine mesure, le propriétaire, il ne peut s'en servir qu'avec le consentement et sous la direction du chef. C'est un trésor collectif ; c'est l'arche sainte du clan </w:t>
      </w:r>
      <w:r w:rsidRPr="009A6BD2">
        <w:rPr>
          <w:rStyle w:val="Rimandonotaapidipagina"/>
          <w:rFonts w:ascii="Times" w:hAnsi="Times" w:cs="Times"/>
        </w:rPr>
        <w:footnoteReference w:id="121"/>
      </w:r>
      <w:r w:rsidRPr="009A6BD2">
        <w:rPr>
          <w:rFonts w:ascii="Times New Roman" w:hAnsi="Times New Roman" w:cs="Times"/>
        </w:rPr>
        <w:t>. La dévotion dont ils sont l'objet montre, d'ai</w:t>
      </w:r>
      <w:r w:rsidRPr="009A6BD2">
        <w:rPr>
          <w:rFonts w:ascii="Times New Roman" w:hAnsi="Times New Roman" w:cs="Times"/>
        </w:rPr>
        <w:t>lleurs, le haut prix qui y est attaché. On ne les manie qu'avec un respect que traduit la solennité des gestes  </w:t>
      </w:r>
      <w:r w:rsidRPr="009A6BD2">
        <w:rPr>
          <w:rStyle w:val="Rimandonotaapidipagina"/>
          <w:rFonts w:ascii="Times" w:hAnsi="Times" w:cs="Times"/>
        </w:rPr>
        <w:footnoteReference w:id="122"/>
      </w:r>
      <w:r w:rsidRPr="009A6BD2">
        <w:rPr>
          <w:rFonts w:ascii="Times New Roman" w:hAnsi="Times New Roman" w:cs="Times"/>
        </w:rPr>
        <w:t>. On les soigne, on les graisse, on les frotte, on les polit, et, quand on les transporte d'une localité dans l'autre, c'est au milieu de cérém</w:t>
      </w:r>
      <w:r w:rsidRPr="009A6BD2">
        <w:rPr>
          <w:rFonts w:ascii="Times New Roman" w:hAnsi="Times New Roman" w:cs="Times"/>
        </w:rPr>
        <w:t>onies qui témoignent qu'on voit dans ce déplacement un acte de la plus haute importance </w:t>
      </w:r>
      <w:r w:rsidRPr="009A6BD2">
        <w:rPr>
          <w:rStyle w:val="Rimandonotaapidipagina"/>
          <w:rFonts w:ascii="Times" w:hAnsi="Times" w:cs="Times"/>
        </w:rPr>
        <w:footnoteReference w:id="12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Or, en eux-mêmes, les churinga sont des objets de bois et de pierre comme tant d'autres ; ils ne se distinguent des choses profanes du même genre que par une partic</w:t>
      </w:r>
      <w:r w:rsidRPr="009A6BD2">
        <w:rPr>
          <w:rFonts w:ascii="Times New Roman" w:hAnsi="Times New Roman" w:cs="Times"/>
        </w:rPr>
        <w:t>ularité : c'est que, sur eux, est gravée ou dessinée la marque totémique. C'est donc cette marque et elle seule qui leur confère le caractère sacré. Il est vrai que, suivant Spencer et GILLEN, le churinga servi</w:t>
      </w:r>
      <w:r w:rsidRPr="009A6BD2">
        <w:rPr>
          <w:rFonts w:ascii="Times" w:hAnsi="Times" w:cs="Times"/>
        </w:rPr>
        <w:softHyphen/>
      </w:r>
      <w:r w:rsidRPr="009A6BD2">
        <w:rPr>
          <w:rFonts w:ascii="Times New Roman" w:hAnsi="Times New Roman" w:cs="Times"/>
        </w:rPr>
        <w:t>rait de résidence à une âme d'ancêtre et ce s</w:t>
      </w:r>
      <w:r w:rsidRPr="009A6BD2">
        <w:rPr>
          <w:rFonts w:ascii="Times New Roman" w:hAnsi="Times New Roman" w:cs="Times"/>
        </w:rPr>
        <w:t>erait la présidence de cette âme qui lui conférerait ses propriétés </w:t>
      </w:r>
      <w:r w:rsidRPr="009A6BD2">
        <w:rPr>
          <w:rStyle w:val="Rimandonotaapidipagina"/>
          <w:rFonts w:ascii="Times" w:hAnsi="Times" w:cs="Times"/>
        </w:rPr>
        <w:footnoteReference w:id="124"/>
      </w:r>
      <w:r w:rsidRPr="009A6BD2">
        <w:rPr>
          <w:rFonts w:ascii="Times New Roman" w:hAnsi="Times New Roman" w:cs="Times"/>
        </w:rPr>
        <w:t>. De son côté, Strehlow, tout en déclarant cette interprétation inexacte, en propose une autre qui ne diffère pas sensiblement de la précédente : le churinga serait consi</w:t>
      </w:r>
      <w:r w:rsidRPr="009A6BD2">
        <w:rPr>
          <w:rFonts w:ascii="Times" w:hAnsi="Times" w:cs="Times"/>
        </w:rPr>
        <w:softHyphen/>
      </w:r>
      <w:r w:rsidRPr="009A6BD2">
        <w:rPr>
          <w:rFonts w:ascii="Times New Roman" w:hAnsi="Times New Roman" w:cs="Times"/>
        </w:rPr>
        <w:t>déré comme une i</w:t>
      </w:r>
      <w:r w:rsidRPr="009A6BD2">
        <w:rPr>
          <w:rFonts w:ascii="Times New Roman" w:hAnsi="Times New Roman" w:cs="Times"/>
        </w:rPr>
        <w:t>mage du corps de l'ancêtre ou comme ce corps lui-même </w:t>
      </w:r>
      <w:r w:rsidRPr="009A6BD2">
        <w:rPr>
          <w:rStyle w:val="Rimandonotaapidipagina"/>
          <w:rFonts w:ascii="Times" w:hAnsi="Times" w:cs="Times"/>
        </w:rPr>
        <w:footnoteReference w:id="125"/>
      </w:r>
      <w:r w:rsidRPr="009A6BD2">
        <w:rPr>
          <w:rFonts w:ascii="Times New Roman" w:hAnsi="Times New Roman" w:cs="Times"/>
        </w:rPr>
        <w:t>. Ce seraient donc encore les sentiments inspirés par l'ancêtre qui se reporteraient sur l'objet matériel et qui en feraient une sorte de fétiche. Mais d'abord, l'une et l'autre conception, - qui, d'ai</w:t>
      </w:r>
      <w:r w:rsidRPr="009A6BD2">
        <w:rPr>
          <w:rFonts w:ascii="Times New Roman" w:hAnsi="Times New Roman" w:cs="Times"/>
        </w:rPr>
        <w:t>lleurs, ne diffèrent guère que dans la lettre du mythe - ont été manifestement forgées après coup pour rendre intelligible le caractère sacré attribué aux churinga. Dans la constitution de ces pièces de bois et de ces morceaux de pierre, dans leur aspect e</w:t>
      </w:r>
      <w:r w:rsidRPr="009A6BD2">
        <w:rPr>
          <w:rFonts w:ascii="Times New Roman" w:hAnsi="Times New Roman" w:cs="Times"/>
        </w:rPr>
        <w:t>xtérieur, il n'y a rien qui les prédestine à être considérés comme le siège d'une âme d'ancêtre on comme l'image de son corps. Si donc les hommes ont imaginé ce mythe, c'est pour pouvoir s'expliquer à eux-mêmes le respect religieux que leur inspiraient ces</w:t>
      </w:r>
      <w:r w:rsidRPr="009A6BD2">
        <w:rPr>
          <w:rFonts w:ascii="Times New Roman" w:hAnsi="Times New Roman" w:cs="Times"/>
        </w:rPr>
        <w:t xml:space="preserve"> choses, bien loin que ce respect fût déterminé par le mythe. Cette explication, comme tant d'explications mythiques, ne résout la question que par la question même, répétée en des termes légèrement différents; car dire que le churinga est sacré et dire qu</w:t>
      </w:r>
      <w:r w:rsidRPr="009A6BD2">
        <w:rPr>
          <w:rFonts w:ascii="Times New Roman" w:hAnsi="Times New Roman" w:cs="Times"/>
        </w:rPr>
        <w:t>'il contient tel ou tel rapport avec un être sacré, c'est énoncer de deux façons le même fait ; ce n'est pas en rendre compte. D'ailleurs, de l'aveu de Spencer et GILLEN, il y a, même chez les Arunta, des churinga qui sont fabriqués, au su et au vu de tout</w:t>
      </w:r>
      <w:r w:rsidRPr="009A6BD2">
        <w:rPr>
          <w:rFonts w:ascii="Times New Roman" w:hAnsi="Times New Roman" w:cs="Times"/>
        </w:rPr>
        <w:t xml:space="preserve"> le monde, par les anciens du groupe </w:t>
      </w:r>
      <w:r w:rsidRPr="009A6BD2">
        <w:rPr>
          <w:rStyle w:val="Rimandonotaapidipagina"/>
          <w:rFonts w:ascii="Times" w:hAnsi="Times" w:cs="Times"/>
        </w:rPr>
        <w:footnoteReference w:id="126"/>
      </w:r>
      <w:r w:rsidRPr="009A6BD2">
        <w:rPr>
          <w:rFonts w:ascii="Times New Roman" w:hAnsi="Times New Roman" w:cs="Times"/>
        </w:rPr>
        <w:t xml:space="preserve"> ; ceux-là ne viennent évidemment pas des grands ancêtres. Ils ont pourtant, à des différences de degrés près, la même efficacité que les autres et ils sont conservés de la même manière. Enfin, il y a des tribus tout e</w:t>
      </w:r>
      <w:r w:rsidRPr="009A6BD2">
        <w:rPr>
          <w:rFonts w:ascii="Times New Roman" w:hAnsi="Times New Roman" w:cs="Times"/>
        </w:rPr>
        <w:t>ntières où le churinga n'est nullement conçu comme associé à un esprit </w:t>
      </w:r>
      <w:r w:rsidRPr="009A6BD2">
        <w:rPr>
          <w:rStyle w:val="Rimandonotaapidipagina"/>
          <w:rFonts w:ascii="Times" w:hAnsi="Times" w:cs="Times"/>
        </w:rPr>
        <w:footnoteReference w:id="127"/>
      </w:r>
      <w:r w:rsidRPr="009A6BD2">
        <w:rPr>
          <w:rFonts w:ascii="Times New Roman" w:hAnsi="Times New Roman" w:cs="Times"/>
        </w:rPr>
        <w:t>. Sa nature religieuse lui vient donc d'une autre source, et d'où lui pourrait-elle venir sinon de l'empreinte totémique qu'il porte ? Ainsi, c'est à cette image que s'adressent en réa</w:t>
      </w:r>
      <w:r w:rsidRPr="009A6BD2">
        <w:rPr>
          <w:rFonts w:ascii="Times New Roman" w:hAnsi="Times New Roman" w:cs="Times"/>
        </w:rPr>
        <w:t>lité, les démonstrations du rite ; c'est elle qui sanctifie l'objet sur lequel elle est gravée.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i/>
          <w:iCs/>
        </w:rPr>
      </w:pPr>
      <w:r w:rsidRPr="009A6BD2">
        <w:rPr>
          <w:rFonts w:ascii="Times New Roman" w:hAnsi="Times New Roman" w:cs="Times"/>
        </w:rPr>
        <w:t>Mais il existe, chez les Arunta et dans les tribus voisines, deux autres instruments litur</w:t>
      </w:r>
      <w:r w:rsidRPr="009A6BD2">
        <w:rPr>
          <w:rFonts w:ascii="Times" w:hAnsi="Times" w:cs="Times"/>
        </w:rPr>
        <w:softHyphen/>
      </w:r>
      <w:r w:rsidRPr="009A6BD2">
        <w:rPr>
          <w:rFonts w:ascii="Times New Roman" w:hAnsi="Times New Roman" w:cs="Times"/>
        </w:rPr>
        <w:t>giques nettement rattachés au totem et au churinga lui-même qui entr</w:t>
      </w:r>
      <w:r w:rsidRPr="009A6BD2">
        <w:rPr>
          <w:rFonts w:ascii="Times New Roman" w:hAnsi="Times New Roman" w:cs="Times"/>
        </w:rPr>
        <w:t xml:space="preserve">e ordinairement dans leur composition : c'est le </w:t>
      </w:r>
      <w:r w:rsidRPr="009A6BD2">
        <w:rPr>
          <w:rFonts w:ascii="Times New Roman" w:hAnsi="Times New Roman" w:cs="Times"/>
          <w:i/>
          <w:iCs/>
        </w:rPr>
        <w:t xml:space="preserve">nurtunja </w:t>
      </w:r>
      <w:r w:rsidRPr="009A6BD2">
        <w:rPr>
          <w:rFonts w:ascii="Times New Roman" w:hAnsi="Times New Roman" w:cs="Times"/>
        </w:rPr>
        <w:t xml:space="preserve">et le </w:t>
      </w:r>
      <w:r w:rsidRPr="009A6BD2">
        <w:rPr>
          <w:rFonts w:ascii="Times New Roman" w:hAnsi="Times New Roman" w:cs="Times"/>
          <w:i/>
          <w:iCs/>
        </w:rPr>
        <w:t>waninga.</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Le nurtunja </w:t>
      </w:r>
      <w:r w:rsidRPr="009A6BD2">
        <w:rPr>
          <w:rStyle w:val="Rimandonotaapidipagina"/>
          <w:rFonts w:ascii="Times" w:hAnsi="Times" w:cs="Times"/>
        </w:rPr>
        <w:footnoteReference w:id="128"/>
      </w:r>
      <w:r w:rsidRPr="009A6BD2">
        <w:rPr>
          <w:rFonts w:ascii="Times New Roman" w:hAnsi="Times New Roman" w:cs="Times"/>
        </w:rPr>
        <w:t>, qui se rencontre chez les Arunta du nord et chez leurs voisins immédiats </w:t>
      </w:r>
      <w:r w:rsidRPr="009A6BD2">
        <w:rPr>
          <w:rStyle w:val="Rimandonotaapidipagina"/>
          <w:rFonts w:ascii="Times" w:hAnsi="Times" w:cs="Times"/>
        </w:rPr>
        <w:footnoteReference w:id="129"/>
      </w:r>
      <w:r w:rsidRPr="009A6BD2">
        <w:rPr>
          <w:rFonts w:ascii="Times New Roman" w:hAnsi="Times New Roman" w:cs="Times"/>
        </w:rPr>
        <w:t>, est fait essentiellement d'un support vertical qui consiste soit en une lance, soit en plus</w:t>
      </w:r>
      <w:r w:rsidRPr="009A6BD2">
        <w:rPr>
          <w:rFonts w:ascii="Times New Roman" w:hAnsi="Times New Roman" w:cs="Times"/>
        </w:rPr>
        <w:t>ieurs lances réunies en faisceau, soit en une simple perche </w:t>
      </w:r>
      <w:r w:rsidRPr="009A6BD2">
        <w:rPr>
          <w:rStyle w:val="Rimandonotaapidipagina"/>
          <w:rFonts w:ascii="Times" w:hAnsi="Times" w:cs="Times"/>
        </w:rPr>
        <w:footnoteReference w:id="130"/>
      </w:r>
      <w:r w:rsidRPr="009A6BD2">
        <w:rPr>
          <w:rFonts w:ascii="Times New Roman" w:hAnsi="Times New Roman" w:cs="Times"/>
        </w:rPr>
        <w:t xml:space="preserve">. Des touffes d'herbes sont maintenues tout autour au moyen de ceintures ou de bandelettes, faites de cheveux. On ajoute par là-dessus du duvet disposé soit en cercles, soit en lignes parallèles </w:t>
      </w:r>
      <w:r w:rsidRPr="009A6BD2">
        <w:rPr>
          <w:rFonts w:ascii="Times New Roman" w:hAnsi="Times New Roman" w:cs="Times"/>
        </w:rPr>
        <w:t>qui courent du haut en bas du support. Le sommet est décoré au moyen de plumes d'aigle-faucon. Ce n'est là, d'ailleurs, que la forme la plus générale et la plus typique ; elle comporte toutes sortes de variantes suivant les cas particuliers </w:t>
      </w:r>
      <w:r w:rsidRPr="009A6BD2">
        <w:rPr>
          <w:rStyle w:val="Rimandonotaapidipagina"/>
          <w:rFonts w:ascii="Times" w:hAnsi="Times" w:cs="Times"/>
        </w:rPr>
        <w:footnoteReference w:id="13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waninga,</w:t>
      </w:r>
      <w:r w:rsidRPr="009A6BD2">
        <w:rPr>
          <w:rFonts w:ascii="Times New Roman" w:hAnsi="Times New Roman" w:cs="Times"/>
        </w:rPr>
        <w:t xml:space="preserve"> qui se trouve uniquement chez les Arunta du sud, chez les Urabunna, le Loritja, n'est pas davan</w:t>
      </w:r>
      <w:r w:rsidRPr="009A6BD2">
        <w:rPr>
          <w:rFonts w:ascii="Times" w:hAnsi="Times" w:cs="Times"/>
        </w:rPr>
        <w:softHyphen/>
      </w:r>
      <w:r w:rsidRPr="009A6BD2">
        <w:rPr>
          <w:rFonts w:ascii="Times New Roman" w:hAnsi="Times New Roman" w:cs="Times"/>
        </w:rPr>
        <w:t>tage d'un seul et unique modèle. Réduit à ses éléments les plus essen</w:t>
      </w:r>
      <w:r w:rsidRPr="009A6BD2">
        <w:rPr>
          <w:rFonts w:ascii="Times" w:hAnsi="Times" w:cs="Times"/>
        </w:rPr>
        <w:softHyphen/>
      </w:r>
      <w:r w:rsidRPr="009A6BD2">
        <w:rPr>
          <w:rFonts w:ascii="Times New Roman" w:hAnsi="Times New Roman" w:cs="Times"/>
        </w:rPr>
        <w:t>tiels, il consiste, lui aussi, en un support vertical, qui est formé par un bâton long de</w:t>
      </w:r>
      <w:r w:rsidRPr="009A6BD2">
        <w:rPr>
          <w:rFonts w:ascii="Times New Roman" w:hAnsi="Times New Roman" w:cs="Times"/>
        </w:rPr>
        <w:t xml:space="preserve"> plus d'un pied ou par une lance de plusieurs mètres de haut, et qui est coupé tantôt par une, tantôt par deux pièces transversales </w:t>
      </w:r>
      <w:r w:rsidRPr="009A6BD2">
        <w:rPr>
          <w:rStyle w:val="Rimandonotaapidipagina"/>
          <w:rFonts w:ascii="Times" w:hAnsi="Times" w:cs="Times"/>
        </w:rPr>
        <w:footnoteReference w:id="132"/>
      </w:r>
      <w:r w:rsidRPr="009A6BD2">
        <w:rPr>
          <w:rFonts w:ascii="Times New Roman" w:hAnsi="Times New Roman" w:cs="Times"/>
        </w:rPr>
        <w:t xml:space="preserve">. Dans le premier cas, il a l'aspect d'une croix. Des cordons faits soit avec ces cheveux humains soit avec de la fourrure </w:t>
      </w:r>
      <w:r w:rsidRPr="009A6BD2">
        <w:rPr>
          <w:rFonts w:ascii="Times New Roman" w:hAnsi="Times New Roman" w:cs="Times"/>
        </w:rPr>
        <w:t>d'opossum ou de bandicoot traversent en diagonales l'espace compris entre les bras de la croix et les extrémités de l'axe central ; ils sont serrés les uns contre les autres et constituent ainsi un réseau qui a la forme d'un losange. Quand il y a deux barr</w:t>
      </w:r>
      <w:r w:rsidRPr="009A6BD2">
        <w:rPr>
          <w:rFonts w:ascii="Times New Roman" w:hAnsi="Times New Roman" w:cs="Times"/>
        </w:rPr>
        <w:t>es transversales, ces cordons vont de l'une à l'autre et, de là, au sommet et à la base du support. Ils sont quelquefois recouverts d'une couche de duvet assez épaisse pour les dissimuler aux regards. Le waninga a ainsi l'aspect d'un véritable drapeau </w:t>
      </w:r>
      <w:r w:rsidRPr="009A6BD2">
        <w:rPr>
          <w:rStyle w:val="Rimandonotaapidipagina"/>
          <w:rFonts w:ascii="Times" w:hAnsi="Times" w:cs="Times"/>
        </w:rPr>
        <w:footnoteReference w:id="13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Or le nurtunja et le waninga, qui figurent dans une multitude de rites importants, sont l'objet d'un respect religieux, tout à fait semblable à celui qu'inspirent les churinga. On pro</w:t>
      </w:r>
      <w:r w:rsidRPr="009A6BD2">
        <w:rPr>
          <w:rFonts w:ascii="Times" w:hAnsi="Times" w:cs="Times"/>
        </w:rPr>
        <w:softHyphen/>
      </w:r>
      <w:r w:rsidRPr="009A6BD2">
        <w:rPr>
          <w:rFonts w:ascii="Times New Roman" w:hAnsi="Times New Roman" w:cs="Times"/>
        </w:rPr>
        <w:t>cède à leur confection et à leur érection avec la plus grande solennité.</w:t>
      </w:r>
      <w:r w:rsidRPr="009A6BD2">
        <w:rPr>
          <w:rFonts w:ascii="Times New Roman" w:hAnsi="Times New Roman" w:cs="Times"/>
        </w:rPr>
        <w:t xml:space="preserve"> Fixés en terre ou portés par un officiant, ils marquent le point central de la cérémonie : c'est autour d'eux qu'ont lieu les danses et que les rites se développent. Au cours de l'initiation, on mène le novice au pied d'un nurtunja qui a été érigé pour la</w:t>
      </w:r>
      <w:r w:rsidRPr="009A6BD2">
        <w:rPr>
          <w:rFonts w:ascii="Times New Roman" w:hAnsi="Times New Roman" w:cs="Times"/>
        </w:rPr>
        <w:t xml:space="preserve"> circonstance. « Voilà, lui dit-on, le nurtunja de ton père ; il a déjà servi à faire bien des jeunes hommes. » Après quoi, l'initié doit embrasser le nurtunja </w:t>
      </w:r>
      <w:r w:rsidRPr="009A6BD2">
        <w:rPr>
          <w:rStyle w:val="Rimandonotaapidipagina"/>
          <w:rFonts w:ascii="Times" w:hAnsi="Times" w:cs="Times"/>
        </w:rPr>
        <w:footnoteReference w:id="134"/>
      </w:r>
      <w:r w:rsidRPr="009A6BD2">
        <w:rPr>
          <w:rFonts w:ascii="Times New Roman" w:hAnsi="Times New Roman" w:cs="Times"/>
        </w:rPr>
        <w:t>. Par ce baiser, il entre en relations avec le principe religieux qui est censé y résider; c'es</w:t>
      </w:r>
      <w:r w:rsidRPr="009A6BD2">
        <w:rPr>
          <w:rFonts w:ascii="Times New Roman" w:hAnsi="Times New Roman" w:cs="Times"/>
        </w:rPr>
        <w:t>t une véritable communion qui doit donner au jeune homme la force nécessaire pour sup</w:t>
      </w:r>
      <w:r w:rsidRPr="009A6BD2">
        <w:rPr>
          <w:rFonts w:ascii="Times" w:hAnsi="Times" w:cs="Times"/>
        </w:rPr>
        <w:softHyphen/>
      </w:r>
      <w:r w:rsidRPr="009A6BD2">
        <w:rPr>
          <w:rFonts w:ascii="Times New Roman" w:hAnsi="Times New Roman" w:cs="Times"/>
        </w:rPr>
        <w:t>por</w:t>
      </w:r>
      <w:r w:rsidRPr="009A6BD2">
        <w:rPr>
          <w:rFonts w:ascii="Times" w:hAnsi="Times" w:cs="Times"/>
        </w:rPr>
        <w:softHyphen/>
      </w:r>
      <w:r w:rsidRPr="009A6BD2">
        <w:rPr>
          <w:rFonts w:ascii="Times New Roman" w:hAnsi="Times New Roman" w:cs="Times"/>
        </w:rPr>
        <w:t>ter la terrible opération de la subincision </w:t>
      </w:r>
      <w:r w:rsidRPr="009A6BD2">
        <w:rPr>
          <w:rStyle w:val="Rimandonotaapidipagina"/>
          <w:rFonts w:ascii="Times" w:hAnsi="Times" w:cs="Times"/>
        </w:rPr>
        <w:footnoteReference w:id="135"/>
      </w:r>
      <w:r w:rsidRPr="009A6BD2">
        <w:rPr>
          <w:rFonts w:ascii="Times New Roman" w:hAnsi="Times New Roman" w:cs="Times"/>
        </w:rPr>
        <w:t>. D'ailleurs, le nurtunja joue un rôle considé</w:t>
      </w:r>
      <w:r w:rsidRPr="009A6BD2">
        <w:rPr>
          <w:rFonts w:ascii="Times" w:hAnsi="Times" w:cs="Times"/>
        </w:rPr>
        <w:softHyphen/>
      </w:r>
      <w:r w:rsidRPr="009A6BD2">
        <w:rPr>
          <w:rFonts w:ascii="Times New Roman" w:hAnsi="Times New Roman" w:cs="Times"/>
        </w:rPr>
        <w:t>rable dans la mythologie de ces sociétés. Les mythes rapportent que, au te</w:t>
      </w:r>
      <w:r w:rsidRPr="009A6BD2">
        <w:rPr>
          <w:rFonts w:ascii="Times New Roman" w:hAnsi="Times New Roman" w:cs="Times"/>
        </w:rPr>
        <w:t>mps fabuleux des grands ancêtres, le territoire de la tribu était sillonné dans tous les sens par des compagnies exclusivement composées d'individus d'un même totem </w:t>
      </w:r>
      <w:r w:rsidRPr="009A6BD2">
        <w:rPr>
          <w:rStyle w:val="Rimandonotaapidipagina"/>
          <w:rFonts w:ascii="Times" w:hAnsi="Times" w:cs="Times"/>
        </w:rPr>
        <w:footnoteReference w:id="136"/>
      </w:r>
      <w:r w:rsidRPr="009A6BD2">
        <w:rPr>
          <w:rFonts w:ascii="Times New Roman" w:hAnsi="Times New Roman" w:cs="Times"/>
        </w:rPr>
        <w:t>. Chacune de ces troupes avait avec elle un nurtunja. Quand elle s'arrêtait pour camper, l</w:t>
      </w:r>
      <w:r w:rsidRPr="009A6BD2">
        <w:rPr>
          <w:rFonts w:ascii="Times New Roman" w:hAnsi="Times New Roman" w:cs="Times"/>
        </w:rPr>
        <w:t>es gens, avant de se disperser pour chasser, fixaient en terre leur nurtunja au sommet duquel étaient suspendus les churinga </w:t>
      </w:r>
      <w:r w:rsidRPr="009A6BD2">
        <w:rPr>
          <w:rStyle w:val="Rimandonotaapidipagina"/>
          <w:rFonts w:ascii="Times" w:hAnsi="Times" w:cs="Times"/>
        </w:rPr>
        <w:footnoteReference w:id="137"/>
      </w:r>
      <w:r w:rsidRPr="009A6BD2">
        <w:rPr>
          <w:rFonts w:ascii="Times New Roman" w:hAnsi="Times New Roman" w:cs="Times"/>
        </w:rPr>
        <w:t>. C'est dire qu'ils lui confiaient tout ce qu'ils avaient de plus précieux. C'était en même temps une sorte d'étendard qui servait</w:t>
      </w:r>
      <w:r w:rsidRPr="009A6BD2">
        <w:rPr>
          <w:rFonts w:ascii="Times New Roman" w:hAnsi="Times New Roman" w:cs="Times"/>
        </w:rPr>
        <w:t xml:space="preserve"> de centre de ralliement au groupe. On ne peut pas n'être pas frappé des analogies que présente le nurtunja avec le poteau sacré des Omaha </w:t>
      </w:r>
      <w:r w:rsidRPr="009A6BD2">
        <w:rPr>
          <w:rStyle w:val="Rimandonotaapidipagina"/>
          <w:rFonts w:ascii="Times" w:hAnsi="Times" w:cs="Times"/>
        </w:rPr>
        <w:footnoteReference w:id="13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Or, ce caractère sacré ne lui peut venir que d'une cause: c'est qu'il représente matérielle</w:t>
      </w:r>
      <w:r w:rsidRPr="009A6BD2">
        <w:rPr>
          <w:rFonts w:ascii="Times" w:hAnsi="Times" w:cs="Times"/>
        </w:rPr>
        <w:softHyphen/>
      </w:r>
      <w:r w:rsidRPr="009A6BD2">
        <w:rPr>
          <w:rFonts w:ascii="Times New Roman" w:hAnsi="Times New Roman" w:cs="Times"/>
        </w:rPr>
        <w:t>ment le totem. En eff</w:t>
      </w:r>
      <w:r w:rsidRPr="009A6BD2">
        <w:rPr>
          <w:rFonts w:ascii="Times New Roman" w:hAnsi="Times New Roman" w:cs="Times"/>
        </w:rPr>
        <w:t>et, les lignes verticales ou les anneaux de duvet qui le recouvrent, ou bien encore les cordons, de couleurs également différentes, qui réunissent les bras du waninga à l'axe central, ne sont pas disposés arbitrairement, au gré des opérateurs; mais ils doi</w:t>
      </w:r>
      <w:r w:rsidRPr="009A6BD2">
        <w:rPr>
          <w:rFonts w:ascii="Times New Roman" w:hAnsi="Times New Roman" w:cs="Times"/>
        </w:rPr>
        <w:t>vent obligatoirement affecter une forme étroitement déterminée par la tradition et qui, dans la pensée des indigènes, figure le totem </w:t>
      </w:r>
      <w:r w:rsidRPr="009A6BD2">
        <w:rPr>
          <w:rStyle w:val="Rimandonotaapidipagina"/>
          <w:rFonts w:ascii="Times" w:hAnsi="Times" w:cs="Times"/>
        </w:rPr>
        <w:footnoteReference w:id="139"/>
      </w:r>
      <w:r w:rsidRPr="009A6BD2">
        <w:rPr>
          <w:rFonts w:ascii="Times New Roman" w:hAnsi="Times New Roman" w:cs="Times"/>
        </w:rPr>
        <w:t>. Ici, il n'y a plus à se demander, comme dans le cas des churinga, si la vénération dont cet instrument cultuel est l'ob</w:t>
      </w:r>
      <w:r w:rsidRPr="009A6BD2">
        <w:rPr>
          <w:rFonts w:ascii="Times New Roman" w:hAnsi="Times New Roman" w:cs="Times"/>
        </w:rPr>
        <w:t>jet n'est qu'un reflet de celle qu'inspirent les ancêtres ; car c'est une règle que chaque nurtunja ou chaque waninga ne dure que pendant la cérémonie oh il est utilisé. On le confectionne à nouveau et de toutes pièces chaque fois qu'il est nécessaire, et,</w:t>
      </w:r>
      <w:r w:rsidRPr="009A6BD2">
        <w:rPr>
          <w:rFonts w:ascii="Times New Roman" w:hAnsi="Times New Roman" w:cs="Times"/>
        </w:rPr>
        <w:t xml:space="preserve"> une fois le rite accompli, on le dépouille de ses ornements et on disperse les éléments dont il est composé </w:t>
      </w:r>
      <w:r w:rsidRPr="009A6BD2">
        <w:rPr>
          <w:rStyle w:val="Rimandonotaapidipagina"/>
          <w:rFonts w:ascii="Times" w:hAnsi="Times" w:cs="Times"/>
        </w:rPr>
        <w:footnoteReference w:id="140"/>
      </w:r>
      <w:r w:rsidRPr="009A6BD2">
        <w:rPr>
          <w:rFonts w:ascii="Times New Roman" w:hAnsi="Times New Roman" w:cs="Times"/>
        </w:rPr>
        <w:t>. Il n'est donc rien d'autre qu'une image - et même une image temporaire - du totem et, par conséquent, c'est à ce titre, et à ce titre seul, qu'i</w:t>
      </w:r>
      <w:r w:rsidRPr="009A6BD2">
        <w:rPr>
          <w:rFonts w:ascii="Times New Roman" w:hAnsi="Times New Roman" w:cs="Times"/>
        </w:rPr>
        <w:t>l joue un rôle religieux.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le churinga, le nurtunja, le waninga doivent uniquement leur nature religieuse à ce qu'ils portent sur eux l'emblème totémique. C'est cet emblème qui est sacré. Aussi garde-t-il ce caractère sur quelque objet qu'il soit re</w:t>
      </w:r>
      <w:r w:rsidRPr="009A6BD2">
        <w:rPr>
          <w:rFonts w:ascii="Times New Roman" w:hAnsi="Times New Roman" w:cs="Times"/>
        </w:rPr>
        <w:t xml:space="preserve">présenté. On le peint parfois sur les rochers ; or, ces peintures sont appelées des </w:t>
      </w:r>
      <w:r w:rsidRPr="009A6BD2">
        <w:rPr>
          <w:rFonts w:ascii="Times New Roman" w:hAnsi="Times New Roman" w:cs="Times"/>
          <w:i/>
          <w:iCs/>
        </w:rPr>
        <w:t xml:space="preserve">churinga ilkinia, </w:t>
      </w:r>
      <w:r w:rsidRPr="009A6BD2">
        <w:rPr>
          <w:rFonts w:ascii="Times New Roman" w:hAnsi="Times New Roman" w:cs="Times"/>
        </w:rPr>
        <w:t>des dessins sacrés </w:t>
      </w:r>
      <w:r w:rsidRPr="009A6BD2">
        <w:rPr>
          <w:rStyle w:val="Rimandonotaapidipagina"/>
          <w:rFonts w:ascii="Times" w:hAnsi="Times" w:cs="Times"/>
        </w:rPr>
        <w:footnoteReference w:id="141"/>
      </w:r>
      <w:r w:rsidRPr="009A6BD2">
        <w:rPr>
          <w:rFonts w:ascii="Times New Roman" w:hAnsi="Times New Roman" w:cs="Times"/>
        </w:rPr>
        <w:t>. Les décorations dont se parent officiants et assistants dans les cérémonies religieuses portent le même nom : il est interdit aux en</w:t>
      </w:r>
      <w:r w:rsidRPr="009A6BD2">
        <w:rPr>
          <w:rFonts w:ascii="Times New Roman" w:hAnsi="Times New Roman" w:cs="Times"/>
        </w:rPr>
        <w:t>fants et aux femmes de les voir </w:t>
      </w:r>
      <w:r w:rsidRPr="009A6BD2">
        <w:rPr>
          <w:rStyle w:val="Rimandonotaapidipagina"/>
          <w:rFonts w:ascii="Times" w:hAnsi="Times" w:cs="Times"/>
        </w:rPr>
        <w:footnoteReference w:id="142"/>
      </w:r>
      <w:r w:rsidRPr="009A6BD2">
        <w:rPr>
          <w:rFonts w:ascii="Times New Roman" w:hAnsi="Times New Roman" w:cs="Times"/>
        </w:rPr>
        <w:t>. Il arrive, au cours de certains rites, que le totem soit dessiné sur le sol. Déjà, la technique de l'opération témoigne des sentiments qu'inspire ce dessin et de la haute valeur qui lui est attribuée ; il est, en effet, t</w:t>
      </w:r>
      <w:r w:rsidRPr="009A6BD2">
        <w:rPr>
          <w:rFonts w:ascii="Times New Roman" w:hAnsi="Times New Roman" w:cs="Times"/>
        </w:rPr>
        <w:t>racé sur un terrain qui a été préalablement arrosé, saturé de sang humain </w:t>
      </w:r>
      <w:r w:rsidRPr="009A6BD2">
        <w:rPr>
          <w:rStyle w:val="Rimandonotaapidipagina"/>
          <w:rFonts w:ascii="Times" w:hAnsi="Times" w:cs="Times"/>
        </w:rPr>
        <w:footnoteReference w:id="143"/>
      </w:r>
      <w:r w:rsidRPr="009A6BD2">
        <w:rPr>
          <w:rFonts w:ascii="Times New Roman" w:hAnsi="Times New Roman" w:cs="Times"/>
        </w:rPr>
        <w:t>, et nous verrous plus loin que le sang est déjà, par lui-même, un liquide sacré qui ne sert qu'à de pieux offices. Puis, une fois que l'image est exécutée, les fidèles restent assi</w:t>
      </w:r>
      <w:r w:rsidRPr="009A6BD2">
        <w:rPr>
          <w:rFonts w:ascii="Times New Roman" w:hAnsi="Times New Roman" w:cs="Times"/>
        </w:rPr>
        <w:t>s par terre devant elle dans J'attitude de la plus pure dévotion </w:t>
      </w:r>
      <w:r w:rsidRPr="009A6BD2">
        <w:rPr>
          <w:rStyle w:val="Rimandonotaapidipagina"/>
          <w:rFonts w:ascii="Times" w:hAnsi="Times" w:cs="Times"/>
        </w:rPr>
        <w:footnoteReference w:id="144"/>
      </w:r>
      <w:r w:rsidRPr="009A6BD2">
        <w:rPr>
          <w:rFonts w:ascii="Times New Roman" w:hAnsi="Times New Roman" w:cs="Times"/>
        </w:rPr>
        <w:t xml:space="preserve">. A condition de donner au mot un sens approprié à la mentalité du primitif, on peut dire qu'ils l'adorent. Voilà ce qui permet de comprendre comment le blason totémique est resté, pour les </w:t>
      </w:r>
      <w:r w:rsidRPr="009A6BD2">
        <w:rPr>
          <w:rFonts w:ascii="Times New Roman" w:hAnsi="Times New Roman" w:cs="Times"/>
        </w:rPr>
        <w:t>Indiens de l'Amérique du Nord, une chose très précieuse : il est toujours entouré d'une sorte d'auréole religieuse.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pour comprendre d'où vient que les représentations totémiques sont aussi sacrées, il n'est pas sans intérêt de savoir en quoi elles </w:t>
      </w:r>
      <w:r w:rsidRPr="009A6BD2">
        <w:rPr>
          <w:rFonts w:ascii="Times New Roman" w:hAnsi="Times New Roman" w:cs="Times"/>
        </w:rPr>
        <w:t>consistent.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Chez les Indiens de l'Amérique du Nord, ce sont des images, peintes, gravées ou sculp</w:t>
      </w:r>
      <w:r w:rsidRPr="009A6BD2">
        <w:rPr>
          <w:rFonts w:ascii="Times" w:hAnsi="Times" w:cs="Times"/>
        </w:rPr>
        <w:softHyphen/>
      </w:r>
      <w:r w:rsidRPr="009A6BD2">
        <w:rPr>
          <w:rFonts w:ascii="Times New Roman" w:hAnsi="Times New Roman" w:cs="Times"/>
        </w:rPr>
        <w:t xml:space="preserve">tées, qui s'efforcent de reproduire, aussi fidèlement que possible, l'aspect extérieur de l'animal totémique. Les procédés employés sont ceux dont nous nous </w:t>
      </w:r>
      <w:r w:rsidRPr="009A6BD2">
        <w:rPr>
          <w:rFonts w:ascii="Times New Roman" w:hAnsi="Times New Roman" w:cs="Times"/>
        </w:rPr>
        <w:t xml:space="preserve">servons encore aujourd'hui dans des cas similaires, sauf qu'ils sont, en général, plus grossiers. Mais il n'en est pas de même en Australie et c'est naturellement dans les sociétés australiennes qu'il faut aller chercher l'origine de ces figurations. Bien </w:t>
      </w:r>
      <w:r w:rsidRPr="009A6BD2">
        <w:rPr>
          <w:rFonts w:ascii="Times New Roman" w:hAnsi="Times New Roman" w:cs="Times"/>
        </w:rPr>
        <w:t>que l'Australien puisse se montrer assez capable d'imiter, au moins d'une manière rudimentaire, les formes des choses </w:t>
      </w:r>
      <w:r w:rsidRPr="009A6BD2">
        <w:rPr>
          <w:rStyle w:val="Rimandonotaapidipagina"/>
          <w:rFonts w:ascii="Times" w:hAnsi="Times" w:cs="Times"/>
        </w:rPr>
        <w:footnoteReference w:id="145"/>
      </w:r>
      <w:r w:rsidRPr="009A6BD2">
        <w:rPr>
          <w:rFonts w:ascii="Times New Roman" w:hAnsi="Times New Roman" w:cs="Times"/>
        </w:rPr>
        <w:t>, les décorations sacrées semblent, le plus souvent, étrangères à toute préoccupation de ce genre : elles consistent essentielle</w:t>
      </w:r>
      <w:r w:rsidRPr="009A6BD2">
        <w:rPr>
          <w:rFonts w:ascii="Times" w:hAnsi="Times" w:cs="Times"/>
        </w:rPr>
        <w:softHyphen/>
      </w:r>
      <w:r w:rsidRPr="009A6BD2">
        <w:rPr>
          <w:rFonts w:ascii="Times New Roman" w:hAnsi="Times New Roman" w:cs="Times"/>
        </w:rPr>
        <w:t xml:space="preserve">ment en </w:t>
      </w:r>
      <w:r w:rsidRPr="009A6BD2">
        <w:rPr>
          <w:rFonts w:ascii="Times New Roman" w:hAnsi="Times New Roman" w:cs="Times"/>
        </w:rPr>
        <w:t>dessins géométriques exécutés soit sur les churinga, soit sur le corps des hommes. Ce sont des lignes, droites ou courbes, peintes de manières différentes </w:t>
      </w:r>
      <w:r w:rsidRPr="009A6BD2">
        <w:rPr>
          <w:rStyle w:val="Rimandonotaapidipagina"/>
          <w:rFonts w:ascii="Times" w:hAnsi="Times" w:cs="Times"/>
        </w:rPr>
        <w:footnoteReference w:id="146"/>
      </w:r>
      <w:r w:rsidRPr="009A6BD2">
        <w:rPr>
          <w:rFonts w:ascii="Times New Roman" w:hAnsi="Times New Roman" w:cs="Times"/>
        </w:rPr>
        <w:t>, et dont l'assem</w:t>
      </w:r>
      <w:r w:rsidRPr="009A6BD2">
        <w:rPr>
          <w:rFonts w:ascii="Times" w:hAnsi="Times" w:cs="Times"/>
        </w:rPr>
        <w:softHyphen/>
      </w:r>
      <w:r w:rsidRPr="009A6BD2">
        <w:rPr>
          <w:rFonts w:ascii="Times New Roman" w:hAnsi="Times New Roman" w:cs="Times"/>
        </w:rPr>
        <w:t>blage n'a et ne peut avoir qu'un sens conventionnel. Le rapport entre la figure, e</w:t>
      </w:r>
      <w:r w:rsidRPr="009A6BD2">
        <w:rPr>
          <w:rFonts w:ascii="Times New Roman" w:hAnsi="Times New Roman" w:cs="Times"/>
        </w:rPr>
        <w:t>t la chose figurée est tellement indirect et lointain qu'on ne peut l'apercevoir quand on n'est pas averti. Seuls, les membres du clan peuvent dire quel est le sens attaché par eux à telle ou telle combinaison de lignes </w:t>
      </w:r>
      <w:r w:rsidRPr="009A6BD2">
        <w:rPr>
          <w:rStyle w:val="Rimandonotaapidipagina"/>
          <w:rFonts w:ascii="Times" w:hAnsi="Times" w:cs="Times"/>
        </w:rPr>
        <w:footnoteReference w:id="147"/>
      </w:r>
      <w:r w:rsidRPr="009A6BD2">
        <w:rPr>
          <w:rFonts w:ascii="Times New Roman" w:hAnsi="Times New Roman" w:cs="Times"/>
        </w:rPr>
        <w:t>. Généralement, hommes et femmes so</w:t>
      </w:r>
      <w:r w:rsidRPr="009A6BD2">
        <w:rPr>
          <w:rFonts w:ascii="Times New Roman" w:hAnsi="Times New Roman" w:cs="Times"/>
        </w:rPr>
        <w:t>nt représentés par des demi-cercles, les animaux par des cercles complets ou par des spirales </w:t>
      </w:r>
      <w:r w:rsidRPr="009A6BD2">
        <w:rPr>
          <w:rStyle w:val="Rimandonotaapidipagina"/>
          <w:rFonts w:ascii="Times" w:hAnsi="Times" w:cs="Times"/>
        </w:rPr>
        <w:footnoteReference w:id="148"/>
      </w:r>
      <w:r w:rsidRPr="009A6BD2">
        <w:rPr>
          <w:rFonts w:ascii="Times New Roman" w:hAnsi="Times New Roman" w:cs="Times"/>
        </w:rPr>
        <w:t>, les traces d'un homme ou d'un animal par des lignes de points, etc. La signification des figures que l'on obtient par ces procédés est même tellement arbitrair</w:t>
      </w:r>
      <w:r w:rsidRPr="009A6BD2">
        <w:rPr>
          <w:rFonts w:ascii="Times New Roman" w:hAnsi="Times New Roman" w:cs="Times"/>
        </w:rPr>
        <w:t>e qu'un dessin identique peut avoir deux sens différents pour les gens de deux totems et représenter ici tel animal, ailleurs un autre animal ou une plante. C'est ce qui est peut-être encore plus apparent dans le cas des nurtunia et des waninga. Chacun d'e</w:t>
      </w:r>
      <w:r w:rsidRPr="009A6BD2">
        <w:rPr>
          <w:rFonts w:ascii="Times New Roman" w:hAnsi="Times New Roman" w:cs="Times"/>
        </w:rPr>
        <w:t>ux représente un totem différent. Mais les éléments peu nombreux et très simples qui entrent dans leur composition ne sauraient donner lieu a des combinaisons bien variées. Il en résulte que deux nurtunja peuvent avoir exactement le même aspect et exprimer</w:t>
      </w:r>
      <w:r w:rsidRPr="009A6BD2">
        <w:rPr>
          <w:rFonts w:ascii="Times New Roman" w:hAnsi="Times New Roman" w:cs="Times"/>
        </w:rPr>
        <w:t xml:space="preserve"> cependant deux choses aussi différentes qu'un arbre à gomme et un émou </w:t>
      </w:r>
      <w:r w:rsidRPr="009A6BD2">
        <w:rPr>
          <w:rStyle w:val="Rimandonotaapidipagina"/>
          <w:rFonts w:ascii="Times" w:hAnsi="Times" w:cs="Times"/>
        </w:rPr>
        <w:footnoteReference w:id="149"/>
      </w:r>
      <w:r w:rsidRPr="009A6BD2">
        <w:rPr>
          <w:rFonts w:ascii="Times New Roman" w:hAnsi="Times New Roman" w:cs="Times"/>
        </w:rPr>
        <w:t>. Au moment où l'on confec</w:t>
      </w:r>
      <w:r w:rsidRPr="009A6BD2">
        <w:rPr>
          <w:rFonts w:ascii="Times" w:hAnsi="Times" w:cs="Times"/>
        </w:rPr>
        <w:softHyphen/>
      </w:r>
      <w:r w:rsidRPr="009A6BD2">
        <w:rPr>
          <w:rFonts w:ascii="Times New Roman" w:hAnsi="Times New Roman" w:cs="Times"/>
        </w:rPr>
        <w:t>tionne le nurtunja, on lui donne un sens qu'il conserve pendant toute la cérémonie, mais qui, en somme, est fixé par convention.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faits prouvent que, si</w:t>
      </w:r>
      <w:r w:rsidRPr="009A6BD2">
        <w:rPr>
          <w:rFonts w:ascii="Times New Roman" w:hAnsi="Times New Roman" w:cs="Times"/>
        </w:rPr>
        <w:t xml:space="preserve"> l'Australien est si fortement enclin à figurer son totem, ce n'est pas pour en avoir sous les yeux un portrait qui en renouvelle perpétuellement la sensation ; niais c'est simplement parce qu'il sent le besoin de se représenter l'idée qu'il s'en fait au m</w:t>
      </w:r>
      <w:r w:rsidRPr="009A6BD2">
        <w:rPr>
          <w:rFonts w:ascii="Times New Roman" w:hAnsi="Times New Roman" w:cs="Times"/>
        </w:rPr>
        <w:t>oyen d'un signe matériel, extérieur, quel que puisse, d'ailleurs, être ce signe. Nous ne pouvons encore chercher à comprendre ce qui a ainsi nécessité le primitif à écrire sur sa personne et sur différents objets la notion qu'il avait de son totem ; mais i</w:t>
      </w:r>
      <w:r w:rsidRPr="009A6BD2">
        <w:rPr>
          <w:rFonts w:ascii="Times New Roman" w:hAnsi="Times New Roman" w:cs="Times"/>
        </w:rPr>
        <w:t>l importait de constater tout de suite la nature du besoin qui a donné naissance à ces multiples figurations </w:t>
      </w:r>
      <w:r w:rsidRPr="009A6BD2">
        <w:rPr>
          <w:rStyle w:val="Rimandonotaapidipagina"/>
          <w:rFonts w:ascii="Times" w:hAnsi="Times" w:cs="Times"/>
        </w:rPr>
        <w:footnoteReference w:id="150"/>
      </w:r>
      <w:r w:rsidRPr="009A6BD2">
        <w:rPr>
          <w:rFonts w:ascii="Times New Roman" w:hAnsi="Times New Roman" w:cs="Times"/>
        </w:rPr>
        <w:t>.</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10" w:name="livre_2_chap_2"/>
      <w:r w:rsidRPr="009A6BD2">
        <w:rPr>
          <w:rFonts w:ascii="Times New Roman" w:hAnsi="Times New Roman"/>
        </w:rPr>
        <w:t>CHAPITRE II</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LES CROYANCES PROPREMENT TOTÉMIQUES</w:t>
      </w:r>
    </w:p>
    <w:bookmarkEnd w:id="10"/>
    <w:p w:rsidR="009A6BD2" w:rsidRPr="009A6BD2" w:rsidRDefault="003E2D0F">
      <w:pPr>
        <w:pStyle w:val="suite"/>
        <w:rPr>
          <w:rFonts w:ascii="Times New Roman" w:hAnsi="Times New Roman"/>
        </w:rPr>
      </w:pPr>
      <w:r w:rsidRPr="009A6BD2">
        <w:rPr>
          <w:rFonts w:ascii="Times New Roman" w:hAnsi="Times New Roman"/>
        </w:rPr>
        <w:t>(Suite)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Niveau10"/>
        <w:rPr>
          <w:rFonts w:ascii="Times New Roman" w:hAnsi="Times New Roman"/>
        </w:rPr>
      </w:pPr>
      <w:bookmarkStart w:id="11" w:name="livre_2_chap_2_animal_totemique"/>
      <w:r w:rsidRPr="009A6BD2">
        <w:rPr>
          <w:rFonts w:ascii="Times New Roman" w:hAnsi="Times New Roman"/>
        </w:rPr>
        <w:t>II. - L'animal totémique et l'homme</w:t>
      </w:r>
    </w:p>
    <w:bookmarkEnd w:id="11"/>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les images totémiques ne sont pas l</w:t>
      </w:r>
      <w:r w:rsidRPr="009A6BD2">
        <w:rPr>
          <w:rFonts w:ascii="Times New Roman" w:hAnsi="Times New Roman" w:cs="Times"/>
        </w:rPr>
        <w:t>es seules choses sacrées. Il existe des êtres réels qui, eux aussi, sont l'objet de rites en raison des rapports qu'ils soutiennent avec le totem : ce sont, avant tous autres, les êtres de l'espèce totémique et les membres du clan.</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12" w:name="livre_2_chap_2_1"/>
      <w:r w:rsidRPr="009A6BD2">
        <w:rPr>
          <w:rFonts w:ascii="Times New Roman" w:hAnsi="Times New Roman"/>
        </w:rPr>
        <w:t>I</w:t>
      </w:r>
    </w:p>
    <w:bookmarkEnd w:id="12"/>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w:cs="Times"/>
          <w:sz w:val="20"/>
          <w:szCs w:val="20"/>
          <w:effect w:val="none"/>
        </w:rPr>
        <w:fldChar w:fldCharType="begin"/>
      </w:r>
      <w:r w:rsidRPr="009A6BD2">
        <w:rPr>
          <w:rFonts w:ascii="Times New Roman" w:hAnsi="Times New Roman" w:cs="Times"/>
          <w:sz w:val="20"/>
          <w:szCs w:val="20"/>
          <w:effect w:val="none"/>
        </w:rPr>
        <w:instrText xml:space="preserve"> HYPERLINK  \l "</w:instrText>
      </w:r>
      <w:r w:rsidRPr="009A6BD2">
        <w:rPr>
          <w:rFonts w:ascii="Times New Roman" w:hAnsi="Times New Roman" w:cs="Times"/>
          <w:sz w:val="20"/>
          <w:szCs w:val="20"/>
          <w:effect w:val="none"/>
        </w:rPr>
        <w:instrText xml:space="preserve">tdm_livre_II" </w:instrText>
      </w:r>
      <w:r w:rsidRPr="009A6BD2">
        <w:rPr>
          <w:rFonts w:ascii="Times" w:hAnsi="Times" w:cs="Times"/>
          <w:szCs w:val="20"/>
          <w:effect w:val="none"/>
        </w:rPr>
      </w:r>
      <w:r w:rsidRPr="009A6BD2">
        <w:rPr>
          <w:rFonts w:ascii="Times" w:hAnsi="Times"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Tout d'abord, puisque les dessins qui représentent le totem éveillent des sentiments religieux, il est naturel que les choses dont ces dessins reproduisent l'aspect aient, en quelque mesure, la même propriété.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sont, pour la plupa</w:t>
      </w:r>
      <w:r w:rsidRPr="009A6BD2">
        <w:rPr>
          <w:rFonts w:ascii="Times New Roman" w:hAnsi="Times New Roman" w:cs="Times"/>
        </w:rPr>
        <w:t>rt, des animaux et des plantes. Le rôle profane des végétaux et même des animaux, est, d'ordinaire, de servir à l'alimentation ; aussi le caractère sacré de l'animal ou de la plante totémique se reconnaît-il à ce fait qu'il est interdit d'en manger. Sans d</w:t>
      </w:r>
      <w:r w:rsidRPr="009A6BD2">
        <w:rPr>
          <w:rFonts w:ascii="Times New Roman" w:hAnsi="Times New Roman" w:cs="Times"/>
        </w:rPr>
        <w:t>oute, parce qu'ils sont choses saintes, ils peuvent entrer dans la composition de certains repas mystiques, et nous verrons, en effet, qu'ils servent parfois à de véritables sacrements ; mais normalement ils ne peuvent être utilisés pour la consommation vu</w:t>
      </w:r>
      <w:r w:rsidRPr="009A6BD2">
        <w:rPr>
          <w:rFonts w:ascii="Times New Roman" w:hAnsi="Times New Roman" w:cs="Times"/>
        </w:rPr>
        <w:t>lgaire. Quiconque passe outre à cette défense s'expose aux plus graves dangers. Ce n'est pas que le groupe intervienne toujours pour réprimer artificiellement l'infraction commise; mais on croit que le sacrilège produit automatiquement la mort. Dans la pla</w:t>
      </w:r>
      <w:r w:rsidRPr="009A6BD2">
        <w:rPr>
          <w:rFonts w:ascii="Times New Roman" w:hAnsi="Times New Roman" w:cs="Times"/>
        </w:rPr>
        <w:t>nte ou dans l'animal totémique est censé résider un principe redoutable qui ne peut pénétrer dans un organisme profane sans le désorganiser ou le détruire </w:t>
      </w:r>
      <w:r w:rsidRPr="009A6BD2">
        <w:rPr>
          <w:rStyle w:val="Rimandonotaapidipagina"/>
          <w:rFonts w:ascii="Times" w:hAnsi="Times" w:cs="Times"/>
        </w:rPr>
        <w:footnoteReference w:id="151"/>
      </w:r>
      <w:r w:rsidRPr="009A6BD2">
        <w:rPr>
          <w:rFonts w:ascii="Times New Roman" w:hAnsi="Times New Roman" w:cs="Times"/>
        </w:rPr>
        <w:t>. Seuls, les vieillards sont, au moins dans certaines tribus, affran</w:t>
      </w:r>
      <w:r w:rsidRPr="009A6BD2">
        <w:rPr>
          <w:rFonts w:ascii="Times" w:hAnsi="Times" w:cs="Times"/>
        </w:rPr>
        <w:softHyphen/>
      </w:r>
      <w:r w:rsidRPr="009A6BD2">
        <w:rPr>
          <w:rFonts w:ascii="Times New Roman" w:hAnsi="Times New Roman" w:cs="Times"/>
        </w:rPr>
        <w:t>chis de cette interdiction </w:t>
      </w:r>
      <w:r w:rsidRPr="009A6BD2">
        <w:rPr>
          <w:rStyle w:val="Rimandonotaapidipagina"/>
          <w:rFonts w:ascii="Times" w:hAnsi="Times" w:cs="Times"/>
        </w:rPr>
        <w:footnoteReference w:id="152"/>
      </w:r>
      <w:r w:rsidRPr="009A6BD2">
        <w:rPr>
          <w:rFonts w:ascii="Times New Roman" w:hAnsi="Times New Roman" w:cs="Times"/>
        </w:rPr>
        <w:t>; n</w:t>
      </w:r>
      <w:r w:rsidRPr="009A6BD2">
        <w:rPr>
          <w:rFonts w:ascii="Times New Roman" w:hAnsi="Times New Roman" w:cs="Times"/>
        </w:rPr>
        <w:t>ous en verrons plus loin la raison.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Cependant, si la prohibition est formelle dans un très grand nombre de tribus </w:t>
      </w:r>
      <w:r w:rsidRPr="009A6BD2">
        <w:rPr>
          <w:rStyle w:val="Rimandonotaapidipagina"/>
          <w:rFonts w:ascii="Times" w:hAnsi="Times" w:cs="Times"/>
        </w:rPr>
        <w:footnoteReference w:id="153"/>
      </w:r>
      <w:r w:rsidRPr="009A6BD2">
        <w:rPr>
          <w:rFonts w:ascii="Times New Roman" w:hAnsi="Times New Roman" w:cs="Times"/>
        </w:rPr>
        <w:t xml:space="preserve"> - sous la réserve des exceptions qui seront indiquées plus tard - il est incontestable qu'elle tend à s'atté</w:t>
      </w:r>
      <w:r w:rsidRPr="009A6BD2">
        <w:rPr>
          <w:rFonts w:ascii="Times" w:hAnsi="Times" w:cs="Times"/>
        </w:rPr>
        <w:softHyphen/>
      </w:r>
      <w:r w:rsidRPr="009A6BD2">
        <w:rPr>
          <w:rFonts w:ascii="Times New Roman" w:hAnsi="Times New Roman" w:cs="Times"/>
        </w:rPr>
        <w:t>nuer à mesure que la vieille o</w:t>
      </w:r>
      <w:r w:rsidRPr="009A6BD2">
        <w:rPr>
          <w:rFonts w:ascii="Times New Roman" w:hAnsi="Times New Roman" w:cs="Times"/>
        </w:rPr>
        <w:t>rganisation totémique est plus ébranlée. Mais les restrictions mêmes qui se maintiennent alors démontrent que ces atténuations n'ont pas été admises sans difficultés, Par exemple, là où il est permis de manger de la plante ou de l'animal qui sert de totem,</w:t>
      </w:r>
      <w:r w:rsidRPr="009A6BD2">
        <w:rPr>
          <w:rFonts w:ascii="Times New Roman" w:hAnsi="Times New Roman" w:cs="Times"/>
        </w:rPr>
        <w:t xml:space="preserve"> ce n'est pourtant pas en toute liberté ; on ne peut en consommer qu'une petite quantité à la fois. Dépasser la mesure constitue une faute rituelle qui a de graves conséquences </w:t>
      </w:r>
      <w:r w:rsidRPr="009A6BD2">
        <w:rPr>
          <w:rStyle w:val="Rimandonotaapidipagina"/>
          <w:rFonts w:ascii="Times" w:hAnsi="Times" w:cs="Times"/>
        </w:rPr>
        <w:footnoteReference w:id="154"/>
      </w:r>
      <w:r w:rsidRPr="009A6BD2">
        <w:rPr>
          <w:rFonts w:ascii="Times New Roman" w:hAnsi="Times New Roman" w:cs="Times"/>
        </w:rPr>
        <w:t>. Ailleurs, la défense subsiste tout entière pour les parties qui sont regardé</w:t>
      </w:r>
      <w:r w:rsidRPr="009A6BD2">
        <w:rPr>
          <w:rFonts w:ascii="Times New Roman" w:hAnsi="Times New Roman" w:cs="Times"/>
        </w:rPr>
        <w:t>es comme les plus précieuses, c'est-à-dire comme les plus sacrées ; par exemple, les oeufs ou la graisse </w:t>
      </w:r>
      <w:r w:rsidRPr="009A6BD2">
        <w:rPr>
          <w:rStyle w:val="Rimandonotaapidipagina"/>
          <w:rFonts w:ascii="Times" w:hAnsi="Times" w:cs="Times"/>
        </w:rPr>
        <w:footnoteReference w:id="155"/>
      </w:r>
      <w:r w:rsidRPr="009A6BD2">
        <w:rPr>
          <w:rFonts w:ascii="Times New Roman" w:hAnsi="Times New Roman" w:cs="Times"/>
        </w:rPr>
        <w:t>. Ailleurs encore, la consommation n'en est tolérée sans réserve que s'il s'agit d'un animal qui n'est pas encore parvenu à la pleine maturité </w:t>
      </w:r>
      <w:r w:rsidRPr="009A6BD2">
        <w:rPr>
          <w:rStyle w:val="Rimandonotaapidipagina"/>
          <w:rFonts w:ascii="Times" w:hAnsi="Times" w:cs="Times"/>
        </w:rPr>
        <w:footnoteReference w:id="156"/>
      </w:r>
      <w:r w:rsidRPr="009A6BD2">
        <w:rPr>
          <w:rFonts w:ascii="Times New Roman" w:hAnsi="Times New Roman" w:cs="Times"/>
        </w:rPr>
        <w:t>. Sans</w:t>
      </w:r>
      <w:r w:rsidRPr="009A6BD2">
        <w:rPr>
          <w:rFonts w:ascii="Times New Roman" w:hAnsi="Times New Roman" w:cs="Times"/>
        </w:rPr>
        <w:t xml:space="preserve"> doute, on considère dans ce cas que sa nature sacrée n'est pas encore entière. La barrière qui isole et protège l'être totémique ne cède donc que lentement et non sans de vives résistances qui témoignent de ce qu'elle devait être primitivement.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est vr</w:t>
      </w:r>
      <w:r w:rsidRPr="009A6BD2">
        <w:rPr>
          <w:rFonts w:ascii="Times New Roman" w:hAnsi="Times New Roman" w:cs="Times"/>
        </w:rPr>
        <w:t>ai que, suivant Spencer et GILLEN, ces restrictions seraient non les restes d'une prohibition rigoureuse qui irait en s'atténuant, ruais, au contraire, le prélude d'une interdiction qui commencerait seulement à s'établir. D'après ces écrivains </w:t>
      </w:r>
      <w:r w:rsidRPr="009A6BD2">
        <w:rPr>
          <w:rStyle w:val="Rimandonotaapidipagina"/>
          <w:rFonts w:ascii="Times" w:hAnsi="Times" w:cs="Times"/>
        </w:rPr>
        <w:footnoteReference w:id="157"/>
      </w:r>
      <w:r w:rsidRPr="009A6BD2">
        <w:rPr>
          <w:rFonts w:ascii="Times New Roman" w:hAnsi="Times New Roman" w:cs="Times"/>
        </w:rPr>
        <w:t>, la libert</w:t>
      </w:r>
      <w:r w:rsidRPr="009A6BD2">
        <w:rPr>
          <w:rFonts w:ascii="Times New Roman" w:hAnsi="Times New Roman" w:cs="Times"/>
        </w:rPr>
        <w:t>é de consommation aurait été complète à l'origine, et les imitations qui y sont présentement apportées seraient relativement récentes. Ils croient trouver la preuve de leur thèse dans les deux faits suivants. D'abord, comme nous venons de le dire, il y a d</w:t>
      </w:r>
      <w:r w:rsidRPr="009A6BD2">
        <w:rPr>
          <w:rFonts w:ascii="Times New Roman" w:hAnsi="Times New Roman" w:cs="Times"/>
        </w:rPr>
        <w:t>es occasions solennelles où les gens du clan ou leur chef non seulement peuvent, mais doivent manger de l'animal et de la plante totémique. Ensuite, les mythes rapportent que les grands ancêtres, fondateurs des clans, mangeaient régulièrement de leur totem</w:t>
      </w:r>
      <w:r w:rsidRPr="009A6BD2">
        <w:rPr>
          <w:rFonts w:ascii="Times New Roman" w:hAnsi="Times New Roman" w:cs="Times"/>
        </w:rPr>
        <w:t xml:space="preserve"> : or, dit-on, ces récits ne peuvent se comprendre que comme l'écho d'un temps où les prohibitions actuelles n'auraient pas existé,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le fait que, au cours de certaines solennités religieuses, une consommation, d'ailleurs modérée, du totem est rituelle</w:t>
      </w:r>
      <w:r w:rsidRPr="009A6BD2">
        <w:rPr>
          <w:rFonts w:ascii="Times New Roman" w:hAnsi="Times New Roman" w:cs="Times"/>
        </w:rPr>
        <w:t>ment obligatoire, n'implique aucunement qu'il ait jamais servi à l'alimentation vulgaire. Tout au contraire, l'aliment que l'on mange au cours de ces repas mystiques est essentiellement sacré, et par conséquent, interdit aux profanes. Quant aux mythes, c'e</w:t>
      </w:r>
      <w:r w:rsidRPr="009A6BD2">
        <w:rPr>
          <w:rFonts w:ascii="Times New Roman" w:hAnsi="Times New Roman" w:cs="Times"/>
        </w:rPr>
        <w:t>st procéder d'après une méthode critique un peu sommaire que de leur attribuer aussi facilement une valeur de documents historiques. En général, ils ont pour objet d'interpréter des rites existants plutôt que de commémorer des événements passés; il sont un</w:t>
      </w:r>
      <w:r w:rsidRPr="009A6BD2">
        <w:rPr>
          <w:rFonts w:ascii="Times New Roman" w:hAnsi="Times New Roman" w:cs="Times"/>
        </w:rPr>
        <w:t>e explication du présent beaucoup plus qu'une histoire. En l'espèce, ces traditions d'après lesquel</w:t>
      </w:r>
      <w:r w:rsidRPr="009A6BD2">
        <w:rPr>
          <w:rFonts w:ascii="Times" w:hAnsi="Times" w:cs="Times"/>
        </w:rPr>
        <w:softHyphen/>
      </w:r>
      <w:r w:rsidRPr="009A6BD2">
        <w:rPr>
          <w:rFonts w:ascii="Times New Roman" w:hAnsi="Times New Roman" w:cs="Times"/>
        </w:rPr>
        <w:t>les les ancêtres de l'époque fabuleuse auraient mangé de leur totem sont en parfait accord avec des croyances et des rites qui sont toujours en vigueur. Les</w:t>
      </w:r>
      <w:r w:rsidRPr="009A6BD2">
        <w:rPr>
          <w:rFonts w:ascii="Times New Roman" w:hAnsi="Times New Roman" w:cs="Times"/>
        </w:rPr>
        <w:t xml:space="preserve"> vieillards, les person</w:t>
      </w:r>
      <w:r w:rsidRPr="009A6BD2">
        <w:rPr>
          <w:rFonts w:ascii="Times" w:hAnsi="Times" w:cs="Times"/>
        </w:rPr>
        <w:softHyphen/>
      </w:r>
      <w:r w:rsidRPr="009A6BD2">
        <w:rPr>
          <w:rFonts w:ascii="Times New Roman" w:hAnsi="Times New Roman" w:cs="Times"/>
        </w:rPr>
        <w:t>nages qui sont parvenus à une haute dignité religieuse sont affranchis des interdits auxquels est soumis le commun des hommes </w:t>
      </w:r>
      <w:r w:rsidRPr="009A6BD2">
        <w:rPr>
          <w:rStyle w:val="Rimandonotaapidipagina"/>
          <w:rFonts w:ascii="Times" w:hAnsi="Times" w:cs="Times"/>
        </w:rPr>
        <w:footnoteReference w:id="158"/>
      </w:r>
      <w:r w:rsidRPr="009A6BD2">
        <w:rPr>
          <w:rFonts w:ascii="Times New Roman" w:hAnsi="Times New Roman" w:cs="Times"/>
        </w:rPr>
        <w:t xml:space="preserve"> : ils peuvent manger de la chose sainte parce qu'ils sont saints eux-mêmes ; c'est d'ailleurs une règle </w:t>
      </w:r>
      <w:r w:rsidRPr="009A6BD2">
        <w:rPr>
          <w:rFonts w:ascii="Times New Roman" w:hAnsi="Times New Roman" w:cs="Times"/>
        </w:rPr>
        <w:t>qui n'est pas particulière au seul totémisme, mais qu'on retrouve dans les religions les plus différentes. Or, les héros ancestraux étaient presque des dieux. Il devait donc paraître plus naturel encore qu'ils aient pu se nourrir de l'aliment sacré </w:t>
      </w:r>
      <w:r w:rsidRPr="009A6BD2">
        <w:rPr>
          <w:rStyle w:val="Rimandonotaapidipagina"/>
          <w:rFonts w:ascii="Times" w:hAnsi="Times" w:cs="Times"/>
        </w:rPr>
        <w:footnoteReference w:id="159"/>
      </w:r>
      <w:r w:rsidRPr="009A6BD2">
        <w:rPr>
          <w:rFonts w:ascii="Times New Roman" w:hAnsi="Times New Roman" w:cs="Times"/>
        </w:rPr>
        <w:t xml:space="preserve"> ; mai</w:t>
      </w:r>
      <w:r w:rsidRPr="009A6BD2">
        <w:rPr>
          <w:rFonts w:ascii="Times New Roman" w:hAnsi="Times New Roman" w:cs="Times"/>
        </w:rPr>
        <w:t>s ce n'est pas une raison pour que la même faculté ait été accordée aux simples profanes </w:t>
      </w:r>
      <w:r w:rsidRPr="009A6BD2">
        <w:rPr>
          <w:rStyle w:val="Rimandonotaapidipagina"/>
          <w:rFonts w:ascii="Times" w:hAnsi="Times" w:cs="Times"/>
        </w:rPr>
        <w:footnoteReference w:id="160"/>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Cependant, il n'est ni certain ni même vraisemblable que la prohibition ait jamais été absolue. Elle paraît avoir toujours été suspendue en cas de nécessité, par e</w:t>
      </w:r>
      <w:r w:rsidRPr="009A6BD2">
        <w:rPr>
          <w:rFonts w:ascii="Times New Roman" w:hAnsi="Times New Roman" w:cs="Times"/>
        </w:rPr>
        <w:t>xemple quand l'indigène est affamé et qu'il n'a rien d'autre pour se nourrir </w:t>
      </w:r>
      <w:r w:rsidRPr="009A6BD2">
        <w:rPr>
          <w:rStyle w:val="Rimandonotaapidipagina"/>
          <w:rFonts w:ascii="Times" w:hAnsi="Times" w:cs="Times"/>
        </w:rPr>
        <w:footnoteReference w:id="161"/>
      </w:r>
      <w:r w:rsidRPr="009A6BD2">
        <w:rPr>
          <w:rFonts w:ascii="Times New Roman" w:hAnsi="Times New Roman" w:cs="Times"/>
        </w:rPr>
        <w:t>. A plus forte raison en est-il ainsi quand le totem est un aliment dont l'homme ne peut se passer. Ainsi, il y a un grand nom</w:t>
      </w:r>
      <w:r w:rsidRPr="009A6BD2">
        <w:rPr>
          <w:rFonts w:ascii="Times" w:hAnsi="Times" w:cs="Times"/>
        </w:rPr>
        <w:softHyphen/>
      </w:r>
      <w:r w:rsidRPr="009A6BD2">
        <w:rPr>
          <w:rFonts w:ascii="Times New Roman" w:hAnsi="Times New Roman" w:cs="Times"/>
        </w:rPr>
        <w:t>bre de tribus où il existe un totem de l'eau; une p</w:t>
      </w:r>
      <w:r w:rsidRPr="009A6BD2">
        <w:rPr>
          <w:rFonts w:ascii="Times New Roman" w:hAnsi="Times New Roman" w:cs="Times"/>
        </w:rPr>
        <w:t>rohibition stricte est, dans l'espèce, mani</w:t>
      </w:r>
      <w:r w:rsidRPr="009A6BD2">
        <w:rPr>
          <w:rFonts w:ascii="Times" w:hAnsi="Times New Roman" w:cs="Times"/>
        </w:rPr>
        <w:softHyphen/>
      </w:r>
      <w:r w:rsidRPr="009A6BD2">
        <w:rPr>
          <w:rFonts w:ascii="Times New Roman" w:hAnsi="Times New Roman" w:cs="Times"/>
        </w:rPr>
        <w:t>fes</w:t>
      </w:r>
      <w:r w:rsidRPr="009A6BD2">
        <w:rPr>
          <w:rFonts w:ascii="Times" w:hAnsi="Times New Roman" w:cs="Times"/>
        </w:rPr>
        <w:softHyphen/>
      </w:r>
      <w:r w:rsidRPr="009A6BD2">
        <w:rPr>
          <w:rFonts w:ascii="Times New Roman" w:hAnsi="Times New Roman" w:cs="Times"/>
        </w:rPr>
        <w:t xml:space="preserve">tement impossible. Cependant, même dans ce cas, la faculté concédée est soumise à des conditions qui en restreignent l'usage et qui montrent bien qu'elle déroge à un principe reconnu. Chez les Kaitish et les </w:t>
      </w:r>
      <w:r w:rsidRPr="009A6BD2">
        <w:rPr>
          <w:rFonts w:ascii="Times New Roman" w:hAnsi="Times New Roman" w:cs="Times"/>
        </w:rPr>
        <w:t>Warramunga, un homme de ce totem ne peut pas boire de l'eau librement ; il lui est défendu de la puiser lui-même; il ne peut en recevoir que des mains d'un tiers qui appartient obligatoirement à la phratrie dont il n'est pas membre </w:t>
      </w:r>
      <w:r w:rsidRPr="009A6BD2">
        <w:rPr>
          <w:rStyle w:val="Rimandonotaapidipagina"/>
          <w:rFonts w:ascii="Times" w:hAnsi="Times New Roman" w:cs="Times"/>
        </w:rPr>
        <w:footnoteReference w:id="162"/>
      </w:r>
      <w:r w:rsidRPr="009A6BD2">
        <w:rPr>
          <w:rFonts w:ascii="Times New Roman" w:hAnsi="Times New Roman" w:cs="Times"/>
        </w:rPr>
        <w:t>. La complex</w:t>
      </w:r>
      <w:r w:rsidRPr="009A6BD2">
        <w:rPr>
          <w:rFonts w:ascii="Times" w:hAnsi="Times New Roman" w:cs="Times"/>
        </w:rPr>
        <w:softHyphen/>
      </w:r>
      <w:r w:rsidRPr="009A6BD2">
        <w:rPr>
          <w:rFonts w:ascii="Times New Roman" w:hAnsi="Times New Roman" w:cs="Times"/>
        </w:rPr>
        <w:t>ité de cet</w:t>
      </w:r>
      <w:r w:rsidRPr="009A6BD2">
        <w:rPr>
          <w:rFonts w:ascii="Times New Roman" w:hAnsi="Times New Roman" w:cs="Times"/>
        </w:rPr>
        <w:t xml:space="preserve">te procédure et la gêne qui en résulte sont encore une façon de reconnaître que l'accès de la chose sacrée n'est pas libre. La même règle s'applique, dans certaines tribus du centre, toutes les fois où l'on mange du totem soit par nécessité soit pour tout </w:t>
      </w:r>
      <w:r w:rsidRPr="009A6BD2">
        <w:rPr>
          <w:rFonts w:ascii="Times New Roman" w:hAnsi="Times New Roman" w:cs="Times"/>
        </w:rPr>
        <w:t>autre cause. Encore faut-il ajouter que, quand cette formalité elle-même est inexécutable, c'est-à-dire quand un individu est seul ou n'est entouré que de membres de sa phratrie, il peut, s'il y a urgence, se passer de tout intermédiaire. On voit que l'int</w:t>
      </w:r>
      <w:r w:rsidRPr="009A6BD2">
        <w:rPr>
          <w:rFonts w:ascii="Times New Roman" w:hAnsi="Times New Roman" w:cs="Times"/>
        </w:rPr>
        <w:t>erdiction est susceptible de tempéra</w:t>
      </w:r>
      <w:r w:rsidRPr="009A6BD2">
        <w:rPr>
          <w:rFonts w:ascii="Times" w:hAnsi="Times New Roman" w:cs="Times"/>
        </w:rPr>
        <w:softHyphen/>
      </w:r>
      <w:r w:rsidRPr="009A6BD2">
        <w:rPr>
          <w:rFonts w:ascii="Times New Roman" w:hAnsi="Times New Roman" w:cs="Times"/>
        </w:rPr>
        <w:t>ments variés.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Néanmoins, elle repose sur des idées si fortement invétérées dans les consciences qu'elle survit très souvent à ses premières raisons d'être. Nous avons vu que, selon toute vraisem</w:t>
      </w:r>
      <w:r w:rsidRPr="009A6BD2">
        <w:rPr>
          <w:rFonts w:ascii="Times" w:hAnsi="Times New Roman" w:cs="Times"/>
        </w:rPr>
        <w:softHyphen/>
      </w:r>
      <w:r w:rsidRPr="009A6BD2">
        <w:rPr>
          <w:rFonts w:ascii="Times New Roman" w:hAnsi="Times New Roman" w:cs="Times"/>
        </w:rPr>
        <w:t>blance, les divers clan</w:t>
      </w:r>
      <w:r w:rsidRPr="009A6BD2">
        <w:rPr>
          <w:rFonts w:ascii="Times New Roman" w:hAnsi="Times New Roman" w:cs="Times"/>
        </w:rPr>
        <w:t>s d'une phratrie ne sont que des subdivisions d'un clan initial qui se serait démembré. Il y eut donc un moment où tous ces clans fondus ensemble, avaient le même totem ; par suite, là où le souvenir de cette commune origine ne s'est pas complète</w:t>
      </w:r>
      <w:r w:rsidRPr="009A6BD2">
        <w:rPr>
          <w:rFonts w:ascii="Times" w:hAnsi="Times New Roman" w:cs="Times"/>
        </w:rPr>
        <w:softHyphen/>
      </w:r>
      <w:r w:rsidRPr="009A6BD2">
        <w:rPr>
          <w:rFonts w:ascii="Times New Roman" w:hAnsi="Times New Roman" w:cs="Times"/>
        </w:rPr>
        <w:t>ment effa</w:t>
      </w:r>
      <w:r w:rsidRPr="009A6BD2">
        <w:rPr>
          <w:rFonts w:ascii="Times New Roman" w:hAnsi="Times New Roman" w:cs="Times"/>
        </w:rPr>
        <w:t>cé, chaque clan continue à se sentir solidaire des autres et à considérer que leurs totems ne lui sont pas étrangers... Pour cette raison, un individu ne peut pas manger en toute liberté des totems affectés aux différents clans de la phratrie dont il n'est</w:t>
      </w:r>
      <w:r w:rsidRPr="009A6BD2">
        <w:rPr>
          <w:rFonts w:ascii="Times New Roman" w:hAnsi="Times New Roman" w:cs="Times"/>
        </w:rPr>
        <w:t xml:space="preserve"> pas membre ; il ne peut y toucher que si la plante ou l'animal interdits lui ont été présentés par un membre de l'autre phratrie </w:t>
      </w:r>
      <w:r w:rsidRPr="009A6BD2">
        <w:rPr>
          <w:rStyle w:val="Rimandonotaapidipagina"/>
          <w:rFonts w:ascii="Times" w:hAnsi="Times New Roman" w:cs="Times"/>
        </w:rPr>
        <w:footnoteReference w:id="163"/>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Une autre survivance du même genre est celle qui concerne le totem maternel. Il y a de fortes raisons de croire que, à l'o</w:t>
      </w:r>
      <w:r w:rsidRPr="009A6BD2">
        <w:rPr>
          <w:rFonts w:ascii="Times New Roman" w:hAnsi="Times New Roman" w:cs="Times"/>
        </w:rPr>
        <w:t>rigine, le totem se transmettait en ligne utérine. Là donc oh la filiation en ligne paternelle est entrée en usage, ce ne fut très probablement qu'après une longue période durant laquelle le principe opposé avait été appliqué : par suite, l'enfant avait al</w:t>
      </w:r>
      <w:r w:rsidRPr="009A6BD2">
        <w:rPr>
          <w:rFonts w:ascii="Times New Roman" w:hAnsi="Times New Roman" w:cs="Times"/>
        </w:rPr>
        <w:t xml:space="preserve">ors le totem de sa mère et était soumis à tous les interdits qui y étaient attachés, Or, dans certaines tribus, où pourtant l'enfant hérite aujourd'hui du totem paternel, il survit quelque chose des interdictions qui protégeaient primitivement le totem de </w:t>
      </w:r>
      <w:r w:rsidRPr="009A6BD2">
        <w:rPr>
          <w:rFonts w:ascii="Times New Roman" w:hAnsi="Times New Roman" w:cs="Times"/>
        </w:rPr>
        <w:t>la mère : on ne peut pas en manger librement </w:t>
      </w:r>
      <w:r w:rsidRPr="009A6BD2">
        <w:rPr>
          <w:rStyle w:val="Rimandonotaapidipagina"/>
          <w:rFonts w:ascii="Times" w:hAnsi="Times New Roman" w:cs="Times"/>
        </w:rPr>
        <w:footnoteReference w:id="164"/>
      </w:r>
      <w:r w:rsidRPr="009A6BD2">
        <w:rPr>
          <w:rFonts w:ascii="Times New Roman" w:hAnsi="Times New Roman" w:cs="Times"/>
        </w:rPr>
        <w:t>. Il n'y a plus rien pourtant, dans l'état présent des choses, qui corresponde à cette prohibition.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 l'interdiction de manger s'ajoute souvent celle de tuer ou, si le totem est une plante, de cueillir </w:t>
      </w:r>
      <w:r w:rsidRPr="009A6BD2">
        <w:rPr>
          <w:rStyle w:val="Rimandonotaapidipagina"/>
          <w:rFonts w:ascii="Times" w:hAnsi="Times New Roman" w:cs="Times"/>
        </w:rPr>
        <w:footnoteReference w:id="165"/>
      </w:r>
      <w:r w:rsidRPr="009A6BD2">
        <w:rPr>
          <w:rFonts w:ascii="Times New Roman" w:hAnsi="Times New Roman" w:cs="Times"/>
        </w:rPr>
        <w:t>. Cepe</w:t>
      </w:r>
      <w:r w:rsidRPr="009A6BD2">
        <w:rPr>
          <w:rFonts w:ascii="Times New Roman" w:hAnsi="Times New Roman" w:cs="Times"/>
        </w:rPr>
        <w:t>ndant, ici encore, il y a bien des exceptions et des tolérances. Il y a notamment le cas de nécessité, quand, par exemple, le totem est un animal nuisible </w:t>
      </w:r>
      <w:r w:rsidRPr="009A6BD2">
        <w:rPr>
          <w:rStyle w:val="Rimandonotaapidipagina"/>
          <w:rFonts w:ascii="Times" w:hAnsi="Times New Roman" w:cs="Times"/>
        </w:rPr>
        <w:footnoteReference w:id="166"/>
      </w:r>
      <w:r w:rsidRPr="009A6BD2">
        <w:rPr>
          <w:rFonts w:ascii="Times New Roman" w:hAnsi="Times New Roman" w:cs="Times"/>
        </w:rPr>
        <w:t xml:space="preserve"> ou qu'on n'a rien à manger. Il y a même des tribus où il est défendu de chasser pour son compte l'a</w:t>
      </w:r>
      <w:r w:rsidRPr="009A6BD2">
        <w:rPr>
          <w:rFonts w:ascii="Times New Roman" w:hAnsi="Times New Roman" w:cs="Times"/>
        </w:rPr>
        <w:t>nimal dont on porte le nom et où pourtant il est permis de le tuer pour le compte d'autrui </w:t>
      </w:r>
      <w:r w:rsidRPr="009A6BD2">
        <w:rPr>
          <w:rStyle w:val="Rimandonotaapidipagina"/>
          <w:rFonts w:ascii="Times" w:hAnsi="Times New Roman" w:cs="Times"/>
        </w:rPr>
        <w:footnoteReference w:id="167"/>
      </w:r>
      <w:r w:rsidRPr="009A6BD2">
        <w:rPr>
          <w:rFonts w:ascii="Times New Roman" w:hAnsi="Times New Roman" w:cs="Times"/>
        </w:rPr>
        <w:t>. Mais en général, la manière dont l'acte est accompli indique bien qu'il y a quelque chose d'illicite. On s'en excuse, comme d'une faute ; on témoigne du chagrin q</w:t>
      </w:r>
      <w:r w:rsidRPr="009A6BD2">
        <w:rPr>
          <w:rFonts w:ascii="Times New Roman" w:hAnsi="Times New Roman" w:cs="Times"/>
        </w:rPr>
        <w:t>ue l'on ressent, de la répugnance que l'on éprouve </w:t>
      </w:r>
      <w:r w:rsidRPr="009A6BD2">
        <w:rPr>
          <w:rStyle w:val="Rimandonotaapidipagina"/>
          <w:rFonts w:ascii="Times" w:hAnsi="Times New Roman" w:cs="Times"/>
        </w:rPr>
        <w:footnoteReference w:id="168"/>
      </w:r>
      <w:r w:rsidRPr="009A6BD2">
        <w:rPr>
          <w:rFonts w:ascii="Times New Roman" w:hAnsi="Times New Roman" w:cs="Times"/>
        </w:rPr>
        <w:t>, et on prend les précautions nécessaires pour que l'animal souffre le moins possible </w:t>
      </w:r>
      <w:r w:rsidRPr="009A6BD2">
        <w:rPr>
          <w:rStyle w:val="Rimandonotaapidipagina"/>
          <w:rFonts w:ascii="Times" w:hAnsi="Times New Roman" w:cs="Times"/>
        </w:rPr>
        <w:footnoteReference w:id="16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Outre les interdictions fondamentales, on cite quelques cas de prohibition de contact entre l'homme et son totem. </w:t>
      </w:r>
      <w:r w:rsidRPr="009A6BD2">
        <w:rPr>
          <w:rFonts w:ascii="Times New Roman" w:hAnsi="Times New Roman" w:cs="Times"/>
        </w:rPr>
        <w:t>Ainsi chez les Omaha, dans le clan de l'Élan, nul ne peut toucher une partie quelconque du corps de l'élan mâle; dans un sous-clan du Buffle, il n'est pas permis de toucher à la tête de cet animal </w:t>
      </w:r>
      <w:r w:rsidRPr="009A6BD2">
        <w:rPr>
          <w:rStyle w:val="Rimandonotaapidipagina"/>
          <w:rFonts w:ascii="Times" w:hAnsi="Times New Roman" w:cs="Times"/>
        </w:rPr>
        <w:footnoteReference w:id="170"/>
      </w:r>
      <w:r w:rsidRPr="009A6BD2">
        <w:rPr>
          <w:rFonts w:ascii="Times New Roman" w:hAnsi="Times New Roman" w:cs="Times"/>
        </w:rPr>
        <w:t xml:space="preserve">. Chez les Bechuana, nul n'oserait se vêtir de la peau de </w:t>
      </w:r>
      <w:r w:rsidRPr="009A6BD2">
        <w:rPr>
          <w:rFonts w:ascii="Times New Roman" w:hAnsi="Times New Roman" w:cs="Times"/>
        </w:rPr>
        <w:t>l'animal qu'il a pour totem </w:t>
      </w:r>
      <w:r w:rsidRPr="009A6BD2">
        <w:rPr>
          <w:rStyle w:val="Rimandonotaapidipagina"/>
          <w:rFonts w:ascii="Times" w:hAnsi="Times New Roman" w:cs="Times"/>
        </w:rPr>
        <w:footnoteReference w:id="171"/>
      </w:r>
      <w:r w:rsidRPr="009A6BD2">
        <w:rPr>
          <w:rFonts w:ascii="Times New Roman" w:hAnsi="Times New Roman" w:cs="Times"/>
        </w:rPr>
        <w:t>. Mais ces cas sont rares, et il est naturel qu'ils soient exception</w:t>
      </w:r>
      <w:r w:rsidRPr="009A6BD2">
        <w:rPr>
          <w:rFonts w:ascii="Times" w:hAnsi="Times New Roman" w:cs="Times"/>
        </w:rPr>
        <w:softHyphen/>
      </w:r>
      <w:r w:rsidRPr="009A6BD2">
        <w:rPr>
          <w:rFonts w:ascii="Times New Roman" w:hAnsi="Times New Roman" w:cs="Times"/>
        </w:rPr>
        <w:t>nels puisque, normalement, l'homme doit porter sur lui l'image de son totem ou quelque cho</w:t>
      </w:r>
      <w:r w:rsidRPr="009A6BD2">
        <w:rPr>
          <w:rFonts w:ascii="Times" w:hAnsi="Times New Roman" w:cs="Times"/>
        </w:rPr>
        <w:softHyphen/>
      </w:r>
      <w:r w:rsidRPr="009A6BD2">
        <w:rPr>
          <w:rFonts w:ascii="Times New Roman" w:hAnsi="Times New Roman" w:cs="Times"/>
        </w:rPr>
        <w:t>se qui le rappelle. Le tatouage et les costumes totémiques seraient</w:t>
      </w:r>
      <w:r w:rsidRPr="009A6BD2">
        <w:rPr>
          <w:rFonts w:ascii="Times New Roman" w:hAnsi="Times New Roman" w:cs="Times"/>
        </w:rPr>
        <w:t xml:space="preserve"> impraticables si tout con</w:t>
      </w:r>
      <w:r w:rsidRPr="009A6BD2">
        <w:rPr>
          <w:rFonts w:ascii="Times" w:hAnsi="Times New Roman" w:cs="Times"/>
        </w:rPr>
        <w:softHyphen/>
      </w:r>
      <w:r w:rsidRPr="009A6BD2">
        <w:rPr>
          <w:rFonts w:ascii="Times New Roman" w:hAnsi="Times New Roman" w:cs="Times"/>
        </w:rPr>
        <w:t>tact était interdit. On remarquera, d'ailleurs, que cette défense ne s'observe pas en Australie, mais seulement dans des sociétés oh le totémisme est déjà bien éloigné de sa forme origi</w:t>
      </w:r>
      <w:r w:rsidRPr="009A6BD2">
        <w:rPr>
          <w:rFonts w:ascii="Times" w:hAnsi="Times New Roman" w:cs="Times"/>
        </w:rPr>
        <w:softHyphen/>
      </w:r>
      <w:r w:rsidRPr="009A6BD2">
        <w:rPr>
          <w:rFonts w:ascii="Times New Roman" w:hAnsi="Times New Roman" w:cs="Times"/>
        </w:rPr>
        <w:t>nelle; elle est donc vraisemblablement d'or</w:t>
      </w:r>
      <w:r w:rsidRPr="009A6BD2">
        <w:rPr>
          <w:rFonts w:ascii="Times New Roman" w:hAnsi="Times New Roman" w:cs="Times"/>
        </w:rPr>
        <w:t>igine tardive et due peut-être à l'influence d'idées qui n'ont rien de proprement totémique </w:t>
      </w:r>
      <w:r w:rsidRPr="009A6BD2">
        <w:rPr>
          <w:rStyle w:val="Rimandonotaapidipagina"/>
          <w:rFonts w:ascii="Times" w:hAnsi="Times New Roman" w:cs="Times"/>
        </w:rPr>
        <w:footnoteReference w:id="172"/>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Si maintenant nous rapprochons ces interdictions diverses de celles dont l'emblème toté</w:t>
      </w:r>
      <w:r w:rsidRPr="009A6BD2">
        <w:rPr>
          <w:rFonts w:ascii="Times" w:hAnsi="Times New Roman" w:cs="Times"/>
        </w:rPr>
        <w:softHyphen/>
      </w:r>
      <w:r w:rsidRPr="009A6BD2">
        <w:rPr>
          <w:rFonts w:ascii="Times New Roman" w:hAnsi="Times New Roman" w:cs="Times"/>
        </w:rPr>
        <w:t>mique est l'objet, il apparaît, contrairement à ce qu'on pouvait prévoir</w:t>
      </w:r>
      <w:r w:rsidRPr="009A6BD2">
        <w:rPr>
          <w:rFonts w:ascii="Times New Roman" w:hAnsi="Times New Roman" w:cs="Times"/>
        </w:rPr>
        <w:t>, que ces dernières sont plus nombreuses, plus strictes, plus sévèrement impératives que les premières. Les figures de toute sorte qui représentent le totem sont entourées d'un respect sensiblement supérieur à celui qu'inspire l'être même dont ces figurati</w:t>
      </w:r>
      <w:r w:rsidRPr="009A6BD2">
        <w:rPr>
          <w:rFonts w:ascii="Times New Roman" w:hAnsi="Times New Roman" w:cs="Times"/>
        </w:rPr>
        <w:t>ons reproduisent la forme. Les churinga, le nurtunja, la waninga ne doivent jamais être maniés par les femmes ou les non-initiés qui ne sont même autorisés à les entrevoir que très exceptionnellement et à distance respectueuse. Au contraire, la plante ou l</w:t>
      </w:r>
      <w:r w:rsidRPr="009A6BD2">
        <w:rPr>
          <w:rFonts w:ascii="Times New Roman" w:hAnsi="Times New Roman" w:cs="Times"/>
        </w:rPr>
        <w:t>'animal dont le clan porte le nom peuvent être vus et touchés par tout le monde. Les churinga sont conservés dans une sorte de temple, au seuil duquel tous les bruits de la vie profane viennent mourir; c'est le domaine des choses saintes. Au contraire, ani</w:t>
      </w:r>
      <w:r w:rsidRPr="009A6BD2">
        <w:rPr>
          <w:rFonts w:ascii="Times New Roman" w:hAnsi="Times New Roman" w:cs="Times"/>
        </w:rPr>
        <w:t>maux et plantes totémiques vivent sur le terrain profane et sont mêlés à la vie commune. Et comme le nombre et l'impor</w:t>
      </w:r>
      <w:r w:rsidRPr="009A6BD2">
        <w:rPr>
          <w:rFonts w:ascii="Times" w:hAnsi="Times New Roman" w:cs="Times"/>
        </w:rPr>
        <w:softHyphen/>
      </w:r>
      <w:r w:rsidRPr="009A6BD2">
        <w:rPr>
          <w:rFonts w:ascii="Times New Roman" w:hAnsi="Times New Roman" w:cs="Times"/>
        </w:rPr>
        <w:t>tance des interdictions qui isolent une chose sacrée et la retirent de la circulation corres</w:t>
      </w:r>
      <w:r w:rsidRPr="009A6BD2">
        <w:rPr>
          <w:rFonts w:ascii="Times" w:hAnsi="Times New Roman" w:cs="Times"/>
        </w:rPr>
        <w:softHyphen/>
      </w:r>
      <w:r w:rsidRPr="009A6BD2">
        <w:rPr>
          <w:rFonts w:ascii="Times New Roman" w:hAnsi="Times New Roman" w:cs="Times"/>
        </w:rPr>
        <w:t>pondent au degré de sainteté dont elle est i</w:t>
      </w:r>
      <w:r w:rsidRPr="009A6BD2">
        <w:rPr>
          <w:rFonts w:ascii="Times New Roman" w:hAnsi="Times New Roman" w:cs="Times"/>
        </w:rPr>
        <w:t xml:space="preserve">nvestie, on arrive à ce remarquable résultat que </w:t>
      </w:r>
      <w:r w:rsidRPr="009A6BD2">
        <w:rPr>
          <w:rFonts w:ascii="Times New Roman" w:hAnsi="Times New Roman" w:cs="Times"/>
          <w:i/>
          <w:iCs/>
        </w:rPr>
        <w:t xml:space="preserve">les images de l'être totémique sont plus sacrées que l'être totémique lui-même. </w:t>
      </w:r>
      <w:r w:rsidRPr="009A6BD2">
        <w:rPr>
          <w:rFonts w:ascii="Times New Roman" w:hAnsi="Times New Roman" w:cs="Times"/>
        </w:rPr>
        <w:t>Au reste, dans les cérémonies du culte, c'est le churinga, c'est le nurtunja qui tiennent la première place; l'animal n'y appar</w:t>
      </w:r>
      <w:r w:rsidRPr="009A6BD2">
        <w:rPr>
          <w:rFonts w:ascii="Times New Roman" w:hAnsi="Times New Roman" w:cs="Times"/>
        </w:rPr>
        <w:t>aît que très exceptionnellement. Dans un rite, dont nous aurons à parler </w:t>
      </w:r>
      <w:r w:rsidRPr="009A6BD2">
        <w:rPr>
          <w:rStyle w:val="Rimandonotaapidipagina"/>
          <w:rFonts w:ascii="Times" w:hAnsi="Times New Roman" w:cs="Times"/>
        </w:rPr>
        <w:footnoteReference w:id="173"/>
      </w:r>
      <w:r w:rsidRPr="009A6BD2">
        <w:rPr>
          <w:rFonts w:ascii="Times New Roman" w:hAnsi="Times New Roman" w:cs="Times"/>
        </w:rPr>
        <w:t xml:space="preserve">, il sert de matière à un repas religieux, mais il ne joue pas de rôle actif. Les Arunta dansent autour du nurtunja, ils s'assemblent devant l'image de leur totem et ils l'adorent ; </w:t>
      </w:r>
      <w:r w:rsidRPr="009A6BD2">
        <w:rPr>
          <w:rFonts w:ascii="Times New Roman" w:hAnsi="Times New Roman" w:cs="Times"/>
        </w:rPr>
        <w:t xml:space="preserve">jamais semblable démonstration ne s'adresse à l'être totémique lui-même. Si ce dernier était la chose sainte par excellence, c'est avec lui, c'est avec la plante ou l'animal sacré que le jeune initié devrait communier quand il est introduit dans le cercle </w:t>
      </w:r>
      <w:r w:rsidRPr="009A6BD2">
        <w:rPr>
          <w:rFonts w:ascii="Times New Roman" w:hAnsi="Times New Roman" w:cs="Times"/>
        </w:rPr>
        <w:t>de la vie religieuse; nous avons vu, au contraire, que le moment le plus solennel de l'initiation est celui oh le novice pénètre dans le sanctuaire des churinga. C'est avec eux, c'est avec le nurtunja qu'il communie. Les représentations du totem ont donc u</w:t>
      </w:r>
      <w:r w:rsidRPr="009A6BD2">
        <w:rPr>
          <w:rFonts w:ascii="Times New Roman" w:hAnsi="Times New Roman" w:cs="Times"/>
        </w:rPr>
        <w:t>ne efficacité plus active que le totem lui-même.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13" w:name="livre_2_chap_2_2"/>
      <w:r w:rsidRPr="009A6BD2">
        <w:rPr>
          <w:rFonts w:ascii="Times New Roman" w:hAnsi="Times New Roman"/>
        </w:rPr>
        <w:t>II</w:t>
      </w:r>
    </w:p>
    <w:bookmarkEnd w:id="13"/>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Il nous faut maintenant déterminer la place de l'homme dans le système des choses religieuses.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sommes enclins, par tout un ensemble d'habitudes acquises e</w:t>
      </w:r>
      <w:r w:rsidRPr="009A6BD2">
        <w:rPr>
          <w:rFonts w:ascii="Times New Roman" w:hAnsi="Times New Roman" w:cs="Times"/>
        </w:rPr>
        <w:t>t par la force même du langage, à concevoir l'homme du commun, le simple fidèle comme un être essentiellement profane. Il pourrait bien se faire que cette conception ne fût vraie à la lettre d'aucune religion </w:t>
      </w:r>
      <w:r w:rsidRPr="009A6BD2">
        <w:rPr>
          <w:rStyle w:val="Rimandonotaapidipagina"/>
          <w:rFonts w:ascii="Times" w:hAnsi="Times New Roman" w:cs="Times"/>
        </w:rPr>
        <w:footnoteReference w:id="174"/>
      </w:r>
      <w:r w:rsidRPr="009A6BD2">
        <w:rPr>
          <w:rFonts w:ascii="Times New Roman" w:hAnsi="Times New Roman" w:cs="Times"/>
        </w:rPr>
        <w:t>; en tout cas, elle ne s'applique pas au totém</w:t>
      </w:r>
      <w:r w:rsidRPr="009A6BD2">
        <w:rPr>
          <w:rFonts w:ascii="Times New Roman" w:hAnsi="Times New Roman" w:cs="Times"/>
        </w:rPr>
        <w:t>isme. Chaque membre du clan est investi d'un caractère sacré qui n'est pas sensiblement inférieur à celui que nous venons de reconnaître à l'animal. La raison de cette sainteté personnelle, c'est que l'homme croit être, en même temps qu'un homme au sens us</w:t>
      </w:r>
      <w:r w:rsidRPr="009A6BD2">
        <w:rPr>
          <w:rFonts w:ascii="Times New Roman" w:hAnsi="Times New Roman" w:cs="Times"/>
        </w:rPr>
        <w:t>uel du mot, un animal ou une plante de l'espèce totémique.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effet, il en porte le nom, or l'identité du nom passe alors pour impliquer une identité de nature. La première n'est pas simplement considérée comme l'indice extérieur de la seconde; elle la su</w:t>
      </w:r>
      <w:r w:rsidRPr="009A6BD2">
        <w:rPr>
          <w:rFonts w:ascii="Times New Roman" w:hAnsi="Times New Roman" w:cs="Times"/>
        </w:rPr>
        <w:t>ppose logiquement, Car le nom, pour le primitif, n'est pas seulement un mot, une combinaison de sons ; c'est quelque chose de l'être, et même quelque chose d'essen</w:t>
      </w:r>
      <w:r w:rsidRPr="009A6BD2">
        <w:rPr>
          <w:rFonts w:ascii="Times" w:hAnsi="Times New Roman" w:cs="Times"/>
        </w:rPr>
        <w:softHyphen/>
      </w:r>
      <w:r w:rsidRPr="009A6BD2">
        <w:rPr>
          <w:rFonts w:ascii="Times New Roman" w:hAnsi="Times New Roman" w:cs="Times"/>
        </w:rPr>
        <w:t>tiel. Un membre du clan du Kangourou s'appelle lui-même un kangourou ; il est donc, en un se</w:t>
      </w:r>
      <w:r w:rsidRPr="009A6BD2">
        <w:rPr>
          <w:rFonts w:ascii="Times New Roman" w:hAnsi="Times New Roman" w:cs="Times"/>
        </w:rPr>
        <w:t>ns, un animal de cette même espèce. « Un homme, disent Spencer et GILLEN, regarde l'être qui lui sert de totem comme étant la même chose que lui-même. Un indigène, avec qui nous discutions la question, nous répondit en nous montrant une photographie que no</w:t>
      </w:r>
      <w:r w:rsidRPr="009A6BD2">
        <w:rPr>
          <w:rFonts w:ascii="Times New Roman" w:hAnsi="Times New Roman" w:cs="Times"/>
        </w:rPr>
        <w:t>us venions de prendre de lui : « Voilà qui est exactement la même chose que moi. Eh bien! il en est de même du kangourou. » Le kangourou était son totem </w:t>
      </w:r>
      <w:r w:rsidRPr="009A6BD2">
        <w:rPr>
          <w:rStyle w:val="Rimandonotaapidipagina"/>
          <w:rFonts w:ascii="Times" w:hAnsi="Times New Roman" w:cs="Times"/>
        </w:rPr>
        <w:footnoteReference w:id="175"/>
      </w:r>
      <w:r w:rsidRPr="009A6BD2">
        <w:rPr>
          <w:rFonts w:ascii="Times New Roman" w:hAnsi="Times New Roman" w:cs="Times"/>
        </w:rPr>
        <w:t>. Chaque individu a donc une double nature : en lui coexistent deux êtres, un homme et un animal.</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Pou</w:t>
      </w:r>
      <w:r w:rsidRPr="009A6BD2">
        <w:rPr>
          <w:rFonts w:ascii="Times New Roman" w:hAnsi="Times New Roman" w:cs="Times"/>
        </w:rPr>
        <w:t>r donner un semblant d'intelligibilité à cette dualité, si étrange pour nous, le primitif a conçu des mythes qui, sans doute, n'expliquent rien et ne font que déplacer la difficulté, mais qui, en la déplaçant, paraissent du moins en atténuer le scandale lo</w:t>
      </w:r>
      <w:r w:rsidRPr="009A6BD2">
        <w:rPr>
          <w:rFonts w:ascii="Times New Roman" w:hAnsi="Times New Roman" w:cs="Times"/>
        </w:rPr>
        <w:t>gique. Avec des variantes dans le détail, ils sont tous construits sur le même plan : ils ont pour objet d'établir entre l'homme et l'animal totémique des rapports généalogiques qui fassent du premier le pa</w:t>
      </w:r>
      <w:r w:rsidRPr="009A6BD2">
        <w:rPr>
          <w:rFonts w:ascii="Times" w:hAnsi="Times New Roman" w:cs="Times"/>
        </w:rPr>
        <w:softHyphen/>
      </w:r>
      <w:r w:rsidRPr="009A6BD2">
        <w:rPr>
          <w:rFonts w:ascii="Times New Roman" w:hAnsi="Times New Roman" w:cs="Times"/>
        </w:rPr>
        <w:t>rent du second. Par cette communauté d'origine, q</w:t>
      </w:r>
      <w:r w:rsidRPr="009A6BD2">
        <w:rPr>
          <w:rFonts w:ascii="Times New Roman" w:hAnsi="Times New Roman" w:cs="Times"/>
        </w:rPr>
        <w:t>ue l'on se représente, d'ailleurs, de manières diffé</w:t>
      </w:r>
      <w:r w:rsidRPr="009A6BD2">
        <w:rPr>
          <w:rFonts w:ascii="Times" w:hAnsi="Times New Roman" w:cs="Times"/>
        </w:rPr>
        <w:softHyphen/>
      </w:r>
      <w:r w:rsidRPr="009A6BD2">
        <w:rPr>
          <w:rFonts w:ascii="Times New Roman" w:hAnsi="Times New Roman" w:cs="Times"/>
        </w:rPr>
        <w:t>ren</w:t>
      </w:r>
      <w:r w:rsidRPr="009A6BD2">
        <w:rPr>
          <w:rFonts w:ascii="Times" w:hAnsi="Times New Roman" w:cs="Times"/>
        </w:rPr>
        <w:softHyphen/>
      </w:r>
      <w:r w:rsidRPr="009A6BD2">
        <w:rPr>
          <w:rFonts w:ascii="Times New Roman" w:hAnsi="Times New Roman" w:cs="Times"/>
        </w:rPr>
        <w:t>tes, on croit rendre compte de leur communauté de nature. Les Narrinyeri, par exemple, ont imaginé que, parmi les premiers hommes, certains avaient le pouvoir de se transformer en bêtes </w:t>
      </w:r>
      <w:r w:rsidRPr="009A6BD2">
        <w:rPr>
          <w:rStyle w:val="Rimandonotaapidipagina"/>
          <w:rFonts w:ascii="Times" w:hAnsi="Times New Roman" w:cs="Times"/>
        </w:rPr>
        <w:footnoteReference w:id="176"/>
      </w:r>
      <w:r w:rsidRPr="009A6BD2">
        <w:rPr>
          <w:rFonts w:ascii="Times New Roman" w:hAnsi="Times New Roman" w:cs="Times"/>
        </w:rPr>
        <w:t>. D'autres s</w:t>
      </w:r>
      <w:r w:rsidRPr="009A6BD2">
        <w:rPr>
          <w:rFonts w:ascii="Times New Roman" w:hAnsi="Times New Roman" w:cs="Times"/>
        </w:rPr>
        <w:t>ociétés australiennes placent au début de l'humanité soit des animaux étranges, dont les hommes seraient descendus on ne sait trop comment </w:t>
      </w:r>
      <w:r w:rsidRPr="009A6BD2">
        <w:rPr>
          <w:rStyle w:val="Rimandonotaapidipagina"/>
          <w:rFonts w:ascii="Times" w:hAnsi="Times New Roman" w:cs="Times"/>
        </w:rPr>
        <w:footnoteReference w:id="177"/>
      </w:r>
      <w:r w:rsidRPr="009A6BD2">
        <w:rPr>
          <w:rFonts w:ascii="Times New Roman" w:hAnsi="Times New Roman" w:cs="Times"/>
        </w:rPr>
        <w:t>, soit des êtres mixtes, intermédiaires entre les deux règnes </w:t>
      </w:r>
      <w:r w:rsidRPr="009A6BD2">
        <w:rPr>
          <w:rStyle w:val="Rimandonotaapidipagina"/>
          <w:rFonts w:ascii="Times" w:hAnsi="Times New Roman" w:cs="Times"/>
        </w:rPr>
        <w:footnoteReference w:id="178"/>
      </w:r>
      <w:r w:rsidRPr="009A6BD2">
        <w:rPr>
          <w:rFonts w:ascii="Times New Roman" w:hAnsi="Times New Roman" w:cs="Times"/>
        </w:rPr>
        <w:t>, soit encore des créatures informes, à peine repré</w:t>
      </w:r>
      <w:r w:rsidRPr="009A6BD2">
        <w:rPr>
          <w:rFonts w:ascii="Times" w:hAnsi="Times New Roman" w:cs="Times"/>
        </w:rPr>
        <w:softHyphen/>
      </w:r>
      <w:r w:rsidRPr="009A6BD2">
        <w:rPr>
          <w:rFonts w:ascii="Times New Roman" w:hAnsi="Times New Roman" w:cs="Times"/>
        </w:rPr>
        <w:t>s</w:t>
      </w:r>
      <w:r w:rsidRPr="009A6BD2">
        <w:rPr>
          <w:rFonts w:ascii="Times New Roman" w:hAnsi="Times New Roman" w:cs="Times"/>
        </w:rPr>
        <w:t>entables, dépourvues de tout organe déterminé, de tout membre défini, oh les diffé</w:t>
      </w:r>
      <w:r w:rsidRPr="009A6BD2">
        <w:rPr>
          <w:rFonts w:ascii="Times" w:hAnsi="Times New Roman" w:cs="Times"/>
        </w:rPr>
        <w:softHyphen/>
      </w:r>
      <w:r w:rsidRPr="009A6BD2">
        <w:rPr>
          <w:rFonts w:ascii="Times New Roman" w:hAnsi="Times New Roman" w:cs="Times"/>
        </w:rPr>
        <w:t>rentes parties du corps étaient à peine esquissées </w:t>
      </w:r>
      <w:r w:rsidRPr="009A6BD2">
        <w:rPr>
          <w:rStyle w:val="Rimandonotaapidipagina"/>
          <w:rFonts w:ascii="Times" w:hAnsi="Times New Roman" w:cs="Times"/>
        </w:rPr>
        <w:footnoteReference w:id="179"/>
      </w:r>
      <w:r w:rsidRPr="009A6BD2">
        <w:rPr>
          <w:rFonts w:ascii="Times New Roman" w:hAnsi="Times New Roman" w:cs="Times"/>
        </w:rPr>
        <w:t>. Des puissances mythiques, parfois conçues sous forme d'animaux, seraient intervenues ensuite, et auraient transformé en</w:t>
      </w:r>
      <w:r w:rsidRPr="009A6BD2">
        <w:rPr>
          <w:rFonts w:ascii="Times New Roman" w:hAnsi="Times New Roman" w:cs="Times"/>
        </w:rPr>
        <w:t xml:space="preserve"> hom</w:t>
      </w:r>
      <w:r w:rsidRPr="009A6BD2">
        <w:rPr>
          <w:rFonts w:ascii="Times" w:hAnsi="Times New Roman" w:cs="Times"/>
        </w:rPr>
        <w:softHyphen/>
      </w:r>
      <w:r w:rsidRPr="009A6BD2">
        <w:rPr>
          <w:rFonts w:ascii="Times New Roman" w:hAnsi="Times New Roman" w:cs="Times"/>
        </w:rPr>
        <w:t>mes ces êtres ambigus et innommables qui représentent, disent Spencer et GILLEN, « une phase de transition entre l'état d'homme et celui d'animal » </w:t>
      </w:r>
      <w:r w:rsidRPr="009A6BD2">
        <w:rPr>
          <w:rStyle w:val="Rimandonotaapidipagina"/>
          <w:rFonts w:ascii="Times" w:hAnsi="Times New Roman" w:cs="Times"/>
        </w:rPr>
        <w:footnoteReference w:id="180"/>
      </w:r>
      <w:r w:rsidRPr="009A6BD2">
        <w:rPr>
          <w:rFonts w:ascii="Times New Roman" w:hAnsi="Times New Roman" w:cs="Times"/>
        </w:rPr>
        <w:t>. Ces transformations nous sont présentées comme le produit d'opérations violentes et quasi chirurgica</w:t>
      </w:r>
      <w:r w:rsidRPr="009A6BD2">
        <w:rPr>
          <w:rFonts w:ascii="Times New Roman" w:hAnsi="Times New Roman" w:cs="Times"/>
        </w:rPr>
        <w:t>les. C'est à coups de hache ou, quand l'opérateur est un oiseau, à coups de bec que l'individu humain aurait été sculpté dans cette masse amorphe, les membres séparés les uns des autres, la bouche ouverte, les narines percées </w:t>
      </w:r>
      <w:r w:rsidRPr="009A6BD2">
        <w:rPr>
          <w:rStyle w:val="Rimandonotaapidipagina"/>
          <w:rFonts w:ascii="Times" w:hAnsi="Times New Roman" w:cs="Times"/>
        </w:rPr>
        <w:footnoteReference w:id="181"/>
      </w:r>
      <w:r w:rsidRPr="009A6BD2">
        <w:rPr>
          <w:rFonts w:ascii="Times New Roman" w:hAnsi="Times New Roman" w:cs="Times"/>
        </w:rPr>
        <w:t>. On retrouve en Amérique des</w:t>
      </w:r>
      <w:r w:rsidRPr="009A6BD2">
        <w:rPr>
          <w:rFonts w:ascii="Times New Roman" w:hAnsi="Times New Roman" w:cs="Times"/>
        </w:rPr>
        <w:t xml:space="preserve"> légendes analogues, sauf que, en raison de la mentalité plus développée de ces peuples, les représentations qu'elles mettent en oeuvre ne sont pas d'une confusion aussi troublante pour la pensée. Tantôt, c'est quelque personnage légendaire qui, par un act</w:t>
      </w:r>
      <w:r w:rsidRPr="009A6BD2">
        <w:rPr>
          <w:rFonts w:ascii="Times New Roman" w:hAnsi="Times New Roman" w:cs="Times"/>
        </w:rPr>
        <w:t>e de son pouvoir, aurait métamorphosé en homme l'animal éponyme du clan </w:t>
      </w:r>
      <w:r w:rsidRPr="009A6BD2">
        <w:rPr>
          <w:rStyle w:val="Rimandonotaapidipagina"/>
          <w:rFonts w:ascii="Times" w:hAnsi="Times New Roman" w:cs="Times"/>
        </w:rPr>
        <w:footnoteReference w:id="182"/>
      </w:r>
      <w:r w:rsidRPr="009A6BD2">
        <w:rPr>
          <w:rFonts w:ascii="Times New Roman" w:hAnsi="Times New Roman" w:cs="Times"/>
        </w:rPr>
        <w:t xml:space="preserve">. Tantôt le mythe essaye d'expliquer comment, par une suite d'événements à peu près naturels et une sorte d'évolution spontanée, l'animal, de lui-même, se serait peu à peu transformé </w:t>
      </w:r>
      <w:r w:rsidRPr="009A6BD2">
        <w:rPr>
          <w:rFonts w:ascii="Times New Roman" w:hAnsi="Times New Roman" w:cs="Times"/>
        </w:rPr>
        <w:t>et aurait fini par prendre une forme humaine </w:t>
      </w:r>
      <w:r w:rsidRPr="009A6BD2">
        <w:rPr>
          <w:rStyle w:val="Rimandonotaapidipagina"/>
          <w:rFonts w:ascii="Times" w:hAnsi="Times New Roman" w:cs="Times"/>
        </w:rPr>
        <w:footnoteReference w:id="18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Il existe, il est vrai, des sociétés (Haida, Tlinkit, Tsimshian) oh il n'est plus admis que l'homme soit né d'un animal ou d'une plante : l'idée d'une affinité entre les animaux de l'espèce totémique et les </w:t>
      </w:r>
      <w:r w:rsidRPr="009A6BD2">
        <w:rPr>
          <w:rFonts w:ascii="Times New Roman" w:hAnsi="Times New Roman" w:cs="Times"/>
        </w:rPr>
        <w:t>membres du clan y a, pourtant, survécu, et elle s'exprime en des mythes qui, pour différer des précédents, ne laissent pas de les rappeler dans ce qu'ils ont d'essentiel. Voici, en effet, l'un des thèmes fondamentaux. L'ancêtre éponyme y est présenté comme</w:t>
      </w:r>
      <w:r w:rsidRPr="009A6BD2">
        <w:rPr>
          <w:rFonts w:ascii="Times New Roman" w:hAnsi="Times New Roman" w:cs="Times"/>
        </w:rPr>
        <w:t xml:space="preserve"> un être humain, mais qui, à la suite de péripéties diverses, aurait été amené à vivre pendant un temps plus ou moins long au milieu d'animaux fabuleux de l'espèce même qui a donné son nom au clan. Par suite de ce commerce intime et prolongé, il devint tel</w:t>
      </w:r>
      <w:r w:rsidRPr="009A6BD2">
        <w:rPr>
          <w:rFonts w:ascii="Times New Roman" w:hAnsi="Times New Roman" w:cs="Times"/>
        </w:rPr>
        <w:t>lement semblable à ses nou</w:t>
      </w:r>
      <w:r w:rsidRPr="009A6BD2">
        <w:rPr>
          <w:rFonts w:ascii="Times" w:hAnsi="Times New Roman" w:cs="Times"/>
        </w:rPr>
        <w:softHyphen/>
      </w:r>
      <w:r w:rsidRPr="009A6BD2">
        <w:rPr>
          <w:rFonts w:ascii="Times New Roman" w:hAnsi="Times New Roman" w:cs="Times"/>
        </w:rPr>
        <w:t>veaux compagnons que, quand il revint parmi les hommes, ceux-ci ne le reconnurent plus. On lui donna donc le nom de l'animal auquel il ressemblait. C'est de son séjour dans ce pays mythique qu'il aurait rapporté l'emblème totémiq</w:t>
      </w:r>
      <w:r w:rsidRPr="009A6BD2">
        <w:rPr>
          <w:rFonts w:ascii="Times New Roman" w:hAnsi="Times New Roman" w:cs="Times"/>
        </w:rPr>
        <w:t>ue avec les pouvoirs et les vertus qui passent pour y être attachés </w:t>
      </w:r>
      <w:r w:rsidRPr="009A6BD2">
        <w:rPr>
          <w:rStyle w:val="Rimandonotaapidipagina"/>
          <w:rFonts w:ascii="Times" w:hAnsi="Times New Roman" w:cs="Times"/>
        </w:rPr>
        <w:footnoteReference w:id="184"/>
      </w:r>
      <w:r w:rsidRPr="009A6BD2">
        <w:rPr>
          <w:rFonts w:ascii="Times New Roman" w:hAnsi="Times New Roman" w:cs="Times"/>
        </w:rPr>
        <w:t>. Ainsi, dans ce cas comme dans les précédents, l'homme est censé participer de la nature de l'animal, bien que cette participation soit conçue sous une forme légèrement différente </w:t>
      </w:r>
      <w:r w:rsidRPr="009A6BD2">
        <w:rPr>
          <w:rStyle w:val="Rimandonotaapidipagina"/>
          <w:rFonts w:ascii="Times" w:hAnsi="Times New Roman" w:cs="Times"/>
        </w:rPr>
        <w:footnoteReference w:id="18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w:t>
      </w:r>
      <w:r w:rsidRPr="009A6BD2">
        <w:rPr>
          <w:rFonts w:ascii="Times New Roman" w:hAnsi="Times New Roman" w:cs="Times"/>
        </w:rPr>
        <w:t>l a donc, lui aussi, quelque chose de sacré. Diffus dans tout l'organisme, ce caractère est plus particulièrement apparent sur certains points privilégiés. Il y a des organes et des tissus qui en sont spécialement marqués: ce sont surtout le sang et les ch</w:t>
      </w:r>
      <w:r w:rsidRPr="009A6BD2">
        <w:rPr>
          <w:rFonts w:ascii="Times New Roman" w:hAnsi="Times New Roman" w:cs="Times"/>
        </w:rPr>
        <w:t>eveux.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sang humain, tout d'abord, est chose si sainte que, dans les tribus de l'Australie centra</w:t>
      </w:r>
      <w:r w:rsidRPr="009A6BD2">
        <w:rPr>
          <w:rFonts w:ascii="Times" w:hAnsi="Times New Roman" w:cs="Times"/>
        </w:rPr>
        <w:softHyphen/>
      </w:r>
      <w:r w:rsidRPr="009A6BD2">
        <w:rPr>
          <w:rFonts w:ascii="Times New Roman" w:hAnsi="Times New Roman" w:cs="Times"/>
        </w:rPr>
        <w:t>le, il sert très souvent à consacrer les instruments les plus respectés du culte. Le nurtunja, par exemple, est, dans certains cas, religieusement oint, de</w:t>
      </w:r>
      <w:r w:rsidRPr="009A6BD2">
        <w:rPr>
          <w:rFonts w:ascii="Times New Roman" w:hAnsi="Times New Roman" w:cs="Times"/>
        </w:rPr>
        <w:t xml:space="preserve"> haut en bas, avec du sang d'homme </w:t>
      </w:r>
      <w:r w:rsidRPr="009A6BD2">
        <w:rPr>
          <w:rStyle w:val="Rimandonotaapidipagina"/>
          <w:rFonts w:ascii="Times" w:hAnsi="Times New Roman" w:cs="Times"/>
        </w:rPr>
        <w:footnoteReference w:id="186"/>
      </w:r>
      <w:r w:rsidRPr="009A6BD2">
        <w:rPr>
          <w:rFonts w:ascii="Times New Roman" w:hAnsi="Times New Roman" w:cs="Times"/>
        </w:rPr>
        <w:t>. C'est sur un terrain tout détrempé de sang que les gens de l'Émou, chez les Arunta, dessinent l'emblème sacré </w:t>
      </w:r>
      <w:r w:rsidRPr="009A6BD2">
        <w:rPr>
          <w:rStyle w:val="Rimandonotaapidipagina"/>
          <w:rFonts w:ascii="Times" w:hAnsi="Times New Roman" w:cs="Times"/>
        </w:rPr>
        <w:footnoteReference w:id="187"/>
      </w:r>
      <w:r w:rsidRPr="009A6BD2">
        <w:rPr>
          <w:rFonts w:ascii="Times New Roman" w:hAnsi="Times New Roman" w:cs="Times"/>
        </w:rPr>
        <w:t>. Nous verrons plus loin comment les flots de sang sont répandus sur les rochers qui représentent les plant</w:t>
      </w:r>
      <w:r w:rsidRPr="009A6BD2">
        <w:rPr>
          <w:rFonts w:ascii="Times New Roman" w:hAnsi="Times New Roman" w:cs="Times"/>
        </w:rPr>
        <w:t>es ou les animaux totémiques </w:t>
      </w:r>
      <w:r w:rsidRPr="009A6BD2">
        <w:rPr>
          <w:rStyle w:val="Rimandonotaapidipagina"/>
          <w:rFonts w:ascii="Times" w:hAnsi="Times New Roman" w:cs="Times"/>
        </w:rPr>
        <w:footnoteReference w:id="188"/>
      </w:r>
      <w:r w:rsidRPr="009A6BD2">
        <w:rPr>
          <w:rFonts w:ascii="Times New Roman" w:hAnsi="Times New Roman" w:cs="Times"/>
        </w:rPr>
        <w:t>. Il n'est pas de cérémonie religieuse où le sang n'ait quelque rôle à jouer </w:t>
      </w:r>
      <w:r w:rsidRPr="009A6BD2">
        <w:rPr>
          <w:rStyle w:val="Rimandonotaapidipagina"/>
          <w:rFonts w:ascii="Times" w:hAnsi="Times New Roman" w:cs="Times"/>
        </w:rPr>
        <w:footnoteReference w:id="189"/>
      </w:r>
      <w:r w:rsidRPr="009A6BD2">
        <w:rPr>
          <w:rFonts w:ascii="Times New Roman" w:hAnsi="Times New Roman" w:cs="Times"/>
        </w:rPr>
        <w:t>. Au cours de l'initiation, il arrive que des adultes s'ouvrent les veines et arrosent de leur sang le novice ; et ce sang est une chose si sacrée q</w:t>
      </w:r>
      <w:r w:rsidRPr="009A6BD2">
        <w:rPr>
          <w:rFonts w:ascii="Times New Roman" w:hAnsi="Times New Roman" w:cs="Times"/>
        </w:rPr>
        <w:t>u'il est défendu aux femmes d'être présentes tandis qu'il coule ; la vue leur en est interdite, tout comme celle d'un churinga </w:t>
      </w:r>
      <w:r w:rsidRPr="009A6BD2">
        <w:rPr>
          <w:rStyle w:val="Rimandonotaapidipagina"/>
          <w:rFonts w:ascii="Times" w:hAnsi="Times New Roman" w:cs="Times"/>
        </w:rPr>
        <w:footnoteReference w:id="190"/>
      </w:r>
      <w:r w:rsidRPr="009A6BD2">
        <w:rPr>
          <w:rFonts w:ascii="Times New Roman" w:hAnsi="Times New Roman" w:cs="Times"/>
        </w:rPr>
        <w:t xml:space="preserve">. Le sang que perd le jeune initié pendant les opérations violentes qu'il est tenu de subir a des vertus toutes particulières : </w:t>
      </w:r>
      <w:r w:rsidRPr="009A6BD2">
        <w:rPr>
          <w:rFonts w:ascii="Times New Roman" w:hAnsi="Times New Roman" w:cs="Times"/>
        </w:rPr>
        <w:t>il sert à diverses communions </w:t>
      </w:r>
      <w:r w:rsidRPr="009A6BD2">
        <w:rPr>
          <w:rStyle w:val="Rimandonotaapidipagina"/>
          <w:rFonts w:ascii="Times" w:hAnsi="Times New Roman" w:cs="Times"/>
        </w:rPr>
        <w:footnoteReference w:id="191"/>
      </w:r>
      <w:r w:rsidRPr="009A6BD2">
        <w:rPr>
          <w:rFonts w:ascii="Times New Roman" w:hAnsi="Times New Roman" w:cs="Times"/>
        </w:rPr>
        <w:t>. Celui qui s'écoule pendant la subincision est, chez les Arunta, pieusement recueilli et enterré en un lieu sur lequel on place une pièce de bois qui signale aux passants la sainteté de l'endroit; aucune femme ne doit en app</w:t>
      </w:r>
      <w:r w:rsidRPr="009A6BD2">
        <w:rPr>
          <w:rFonts w:ascii="Times New Roman" w:hAnsi="Times New Roman" w:cs="Times"/>
        </w:rPr>
        <w:t>rocher </w:t>
      </w:r>
      <w:r w:rsidRPr="009A6BD2">
        <w:rPr>
          <w:rStyle w:val="Rimandonotaapidipagina"/>
          <w:rFonts w:ascii="Times" w:hAnsi="Times New Roman" w:cs="Times"/>
        </w:rPr>
        <w:footnoteReference w:id="192"/>
      </w:r>
      <w:r w:rsidRPr="009A6BD2">
        <w:rPr>
          <w:rFonts w:ascii="Times New Roman" w:hAnsi="Times New Roman" w:cs="Times"/>
        </w:rPr>
        <w:t>. C'est, d'ailleurs par la nature religieuse du sang que s'explique le rôle, également religieux, de l'ocre rouge qui, lui aussi, est d'un emploi très fréquent dans les cérémonies ; on en frotte les churinga ; on s'en sert dans les décorations ritu</w:t>
      </w:r>
      <w:r w:rsidRPr="009A6BD2">
        <w:rPr>
          <w:rFonts w:ascii="Times New Roman" w:hAnsi="Times New Roman" w:cs="Times"/>
        </w:rPr>
        <w:t>elles </w:t>
      </w:r>
      <w:r w:rsidRPr="009A6BD2">
        <w:rPr>
          <w:rStyle w:val="Rimandonotaapidipagina"/>
          <w:rFonts w:ascii="Times" w:hAnsi="Times New Roman" w:cs="Times"/>
        </w:rPr>
        <w:footnoteReference w:id="193"/>
      </w:r>
      <w:r w:rsidRPr="009A6BD2">
        <w:rPr>
          <w:rFonts w:ascii="Times New Roman" w:hAnsi="Times New Roman" w:cs="Times"/>
        </w:rPr>
        <w:t>. C'est que, à cause de sa couleur, il est considéré comme une substance parente du sang. Même plusieurs dépôts d'ocre rouge que l'on trouve sur différents points du territoire Arunta passent pour du sang coagulé que certaines héroïnes de l'époque m</w:t>
      </w:r>
      <w:r w:rsidRPr="009A6BD2">
        <w:rPr>
          <w:rFonts w:ascii="Times New Roman" w:hAnsi="Times New Roman" w:cs="Times"/>
        </w:rPr>
        <w:t>ythique auraient laissé s'écouler sur le sol </w:t>
      </w:r>
      <w:r w:rsidRPr="009A6BD2">
        <w:rPr>
          <w:rStyle w:val="Rimandonotaapidipagina"/>
          <w:rFonts w:ascii="Times" w:hAnsi="Times New Roman" w:cs="Times"/>
        </w:rPr>
        <w:footnoteReference w:id="19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La chevelure a des propriétés analogues. Les indigènes du centre portent des ceintures, faites de cheveux humains, dont nous avons déjà signalé les fonctions religieuses : elles servent de bandelettes pour </w:t>
      </w:r>
      <w:r w:rsidRPr="009A6BD2">
        <w:rPr>
          <w:rFonts w:ascii="Times New Roman" w:hAnsi="Times New Roman" w:cs="Times"/>
        </w:rPr>
        <w:t>envelopper certains objets du culte </w:t>
      </w:r>
      <w:r w:rsidRPr="009A6BD2">
        <w:rPr>
          <w:rStyle w:val="Rimandonotaapidipagina"/>
          <w:rFonts w:ascii="Times" w:hAnsi="Times New Roman" w:cs="Times"/>
        </w:rPr>
        <w:footnoteReference w:id="195"/>
      </w:r>
      <w:r w:rsidRPr="009A6BD2">
        <w:rPr>
          <w:rFonts w:ascii="Times New Roman" w:hAnsi="Times New Roman" w:cs="Times"/>
        </w:rPr>
        <w:t>. Un homme a-t-il prêté à un autre un de ses churinga ? En témoignage de reconnaissance, le second fait au premier un présent de cheveux ; ces deux sortes de choses sont donc considérées comme de même ordre et de valeur</w:t>
      </w:r>
      <w:r w:rsidRPr="009A6BD2">
        <w:rPr>
          <w:rFonts w:ascii="Times New Roman" w:hAnsi="Times New Roman" w:cs="Times"/>
        </w:rPr>
        <w:t xml:space="preserve"> équivalente </w:t>
      </w:r>
      <w:r w:rsidRPr="009A6BD2">
        <w:rPr>
          <w:rStyle w:val="Rimandonotaapidipagina"/>
          <w:rFonts w:ascii="Times" w:hAnsi="Times New Roman" w:cs="Times"/>
        </w:rPr>
        <w:footnoteReference w:id="196"/>
      </w:r>
      <w:r w:rsidRPr="009A6BD2">
        <w:rPr>
          <w:rFonts w:ascii="Times New Roman" w:hAnsi="Times New Roman" w:cs="Times"/>
        </w:rPr>
        <w:t>. Aussi l'opération de la coupe des cheveux est-elle un acte rituel qui s'accompagne de cérémonies déterminées : l'individu qui la subit doit se tenir accroupi par terre, la face tournée dans la direction de l'endroit où sont censés avoir cam</w:t>
      </w:r>
      <w:r w:rsidRPr="009A6BD2">
        <w:rPr>
          <w:rFonts w:ascii="Times New Roman" w:hAnsi="Times New Roman" w:cs="Times"/>
        </w:rPr>
        <w:t>pé les ancêtres fabuleux de qui le clan de sa mère passe pour être descendu </w:t>
      </w:r>
      <w:r w:rsidRPr="009A6BD2">
        <w:rPr>
          <w:rStyle w:val="Rimandonotaapidipagina"/>
          <w:rFonts w:ascii="Times" w:hAnsi="Times New Roman" w:cs="Times"/>
        </w:rPr>
        <w:footnoteReference w:id="19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Pour la même raison, aussitôt qu'un homme est mort, on lui coupe les cheveux, on les dépose dans un endroit écarté, car ni les femmes ni les non-initiés n'ont le droit de les v</w:t>
      </w:r>
      <w:r w:rsidRPr="009A6BD2">
        <w:rPr>
          <w:rFonts w:ascii="Times New Roman" w:hAnsi="Times New Roman" w:cs="Times"/>
        </w:rPr>
        <w:t>oir ; et c'est là, loin des yeux profanes, que l'on procède à la confection des ceintures </w:t>
      </w:r>
      <w:r w:rsidRPr="009A6BD2">
        <w:rPr>
          <w:rStyle w:val="Rimandonotaapidipagina"/>
          <w:rFonts w:ascii="Times" w:hAnsi="Times New Roman" w:cs="Times"/>
        </w:rPr>
        <w:footnoteReference w:id="198"/>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 xml:space="preserve">On pourrait signaler d'autres tissus organiques qui, à des degrés divers, manifestent des propriétés analogues : tels sont les favoris, le prépuce, la graisse du </w:t>
      </w:r>
      <w:r w:rsidRPr="009A6BD2">
        <w:rPr>
          <w:rFonts w:ascii="Times New Roman" w:hAnsi="Times New Roman" w:cs="Times"/>
        </w:rPr>
        <w:t>foie, etc. </w:t>
      </w:r>
      <w:r w:rsidRPr="009A6BD2">
        <w:rPr>
          <w:rStyle w:val="Rimandonotaapidipagina"/>
          <w:rFonts w:ascii="Times" w:hAnsi="Times New Roman" w:cs="Times"/>
        </w:rPr>
        <w:footnoteReference w:id="199"/>
      </w:r>
      <w:r w:rsidRPr="009A6BD2">
        <w:rPr>
          <w:rFonts w:ascii="Times New Roman" w:hAnsi="Times New Roman" w:cs="Times"/>
        </w:rPr>
        <w:t xml:space="preserve"> Mais il est inutile de multiplier les exemples. Ceux qui précèdent suffisent à prouver qu'il existe chez l'homme quelque chose qui tient le profane à distance et qui possède une efficacité religieuse ; en d'autres termes, l'organisme humain re</w:t>
      </w:r>
      <w:r w:rsidRPr="009A6BD2">
        <w:rPr>
          <w:rFonts w:ascii="Times New Roman" w:hAnsi="Times New Roman" w:cs="Times"/>
        </w:rPr>
        <w:t>cèle dans ses profondeurs un principe sacré qui, dans des circonstances déterminées, vient ostensiblement affleurer au dehors. Ce principe ne diffère pas spécifiquement de celui qui fait le caractère religieux du totem. Nous venons de voir, en effet, que l</w:t>
      </w:r>
      <w:r w:rsidRPr="009A6BD2">
        <w:rPr>
          <w:rFonts w:ascii="Times New Roman" w:hAnsi="Times New Roman" w:cs="Times"/>
        </w:rPr>
        <w:t xml:space="preserve">es substances diverses dans lesquelles il s'incarne plus éminemment entrent dans la composition rituelle des instruments du culte (nurtunja, dessins totémiques), ou servent à des onctions dont le but est de revivifier les vertus soit des churinga soit des </w:t>
      </w:r>
      <w:r w:rsidRPr="009A6BD2">
        <w:rPr>
          <w:rFonts w:ascii="Times New Roman" w:hAnsi="Times New Roman" w:cs="Times"/>
        </w:rPr>
        <w:t>rochers sacrés ; ce sont donc choses de même espèce.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Toutefois, la dignité religieuse qui, à ce titre, est inhérente à chaque membre du clan n'est pas égale chez tous. Les hommes la possèdent à un plus haut degré que les femmes ; par rapport à eux, elles </w:t>
      </w:r>
      <w:r w:rsidRPr="009A6BD2">
        <w:rPr>
          <w:rFonts w:ascii="Times New Roman" w:hAnsi="Times New Roman" w:cs="Times"/>
        </w:rPr>
        <w:t>sont comme des profanes </w:t>
      </w:r>
      <w:r w:rsidRPr="009A6BD2">
        <w:rPr>
          <w:rStyle w:val="Rimandonotaapidipagina"/>
          <w:rFonts w:ascii="Times" w:hAnsi="Times New Roman" w:cs="Times"/>
        </w:rPr>
        <w:footnoteReference w:id="200"/>
      </w:r>
      <w:r w:rsidRPr="009A6BD2">
        <w:rPr>
          <w:rFonts w:ascii="Times New Roman" w:hAnsi="Times New Roman" w:cs="Times"/>
        </w:rPr>
        <w:t>. Aussi, toutes les fois où il y a une assemblée soit du groupe totémique soit de la tribu, les hommes forment un camp à part, distinct de celui des femmes et fermé à ces dernières : ils sont séparés </w:t>
      </w:r>
      <w:r w:rsidRPr="009A6BD2">
        <w:rPr>
          <w:rStyle w:val="Rimandonotaapidipagina"/>
          <w:rFonts w:ascii="Times" w:hAnsi="Times New Roman" w:cs="Times"/>
        </w:rPr>
        <w:footnoteReference w:id="201"/>
      </w:r>
      <w:r w:rsidRPr="009A6BD2">
        <w:rPr>
          <w:rFonts w:ascii="Times New Roman" w:hAnsi="Times New Roman" w:cs="Times"/>
        </w:rPr>
        <w:t>. Mais il y a aussi des différ</w:t>
      </w:r>
      <w:r w:rsidRPr="009A6BD2">
        <w:rPr>
          <w:rFonts w:ascii="Times New Roman" w:hAnsi="Times New Roman" w:cs="Times"/>
        </w:rPr>
        <w:t>ences dans la manière dont les hommes sont marqués du caractère religieux. Les jeunes gens non initiés en sont totalement dépourvus puisqu'ils ne sont pas admis aux cérémonies. C'est chez les anciens qu'il atteint son maximum d'intensité. Ils sont tellemen</w:t>
      </w:r>
      <w:r w:rsidRPr="009A6BD2">
        <w:rPr>
          <w:rFonts w:ascii="Times New Roman" w:hAnsi="Times New Roman" w:cs="Times"/>
        </w:rPr>
        <w:t>t sacrés que certaines choses défendues au vulgaire leur sont permises: ils peuvent plus librement manger de l'animal totémique, et même, comme nous l'avons vu, il y a des tribus où ils sont libérés de toute prohibition alimentaire.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faut donc se garde</w:t>
      </w:r>
      <w:r w:rsidRPr="009A6BD2">
        <w:rPr>
          <w:rFonts w:ascii="Times New Roman" w:hAnsi="Times New Roman" w:cs="Times"/>
        </w:rPr>
        <w:t xml:space="preserve">r de voir dans le totémisme une sorte de zoolâtrie. L'homme n'a nullement, vis-à-vis des animaux ou des plantes dont il porte le nom, l'attitude du fidèle vis-à-vis de son dieu, puisqu'il appartient lui-même au monde sacré. Leurs rapports sont plutôt ceux </w:t>
      </w:r>
      <w:r w:rsidRPr="009A6BD2">
        <w:rPr>
          <w:rFonts w:ascii="Times New Roman" w:hAnsi="Times New Roman" w:cs="Times"/>
        </w:rPr>
        <w:t>de deux êtres qui sont sensiblement au même niveau et d'égale valeur. Tout au plus peut-on dire que, du moins dans certains cas, l'animal paraît occuper une place légèrement plus élevée dans la hiérarchie des choses sacrées. C'est ainsi qu'il est appelé qu</w:t>
      </w:r>
      <w:r w:rsidRPr="009A6BD2">
        <w:rPr>
          <w:rFonts w:ascii="Times New Roman" w:hAnsi="Times New Roman" w:cs="Times"/>
        </w:rPr>
        <w:t>elquefois le père ou le grand-père des hommes du clan; ce qui semble indiquer qu'ils se sentent vis-à-vis de lui dans un certain état de dépendance morale </w:t>
      </w:r>
      <w:r w:rsidRPr="009A6BD2">
        <w:rPr>
          <w:rStyle w:val="Rimandonotaapidipagina"/>
          <w:rFonts w:ascii="Times" w:hAnsi="Times New Roman" w:cs="Times"/>
        </w:rPr>
        <w:footnoteReference w:id="202"/>
      </w:r>
      <w:r w:rsidRPr="009A6BD2">
        <w:rPr>
          <w:rFonts w:ascii="Times New Roman" w:hAnsi="Times New Roman" w:cs="Times"/>
        </w:rPr>
        <w:t>. Encore arrive-t-il souvent, et peut-être même le plus souvent, que les expressions employées dénot</w:t>
      </w:r>
      <w:r w:rsidRPr="009A6BD2">
        <w:rPr>
          <w:rFonts w:ascii="Times New Roman" w:hAnsi="Times New Roman" w:cs="Times"/>
        </w:rPr>
        <w:t>ent plutôt un sentiment d'égalité. L'animal totémique est appelé l'ami, le frère aîné de ses congénères humains </w:t>
      </w:r>
      <w:r w:rsidRPr="009A6BD2">
        <w:rPr>
          <w:rStyle w:val="Rimandonotaapidipagina"/>
          <w:rFonts w:ascii="Times" w:hAnsi="Times New Roman" w:cs="Times"/>
        </w:rPr>
        <w:footnoteReference w:id="203"/>
      </w:r>
      <w:r w:rsidRPr="009A6BD2">
        <w:rPr>
          <w:rFonts w:ascii="Times New Roman" w:hAnsi="Times New Roman" w:cs="Times"/>
        </w:rPr>
        <w:t>. En définitive, les liens qui existent entre eux et lui ressemblent beaucoup plus à ceux qui unissent les membres d'une même famille ; animaux</w:t>
      </w:r>
      <w:r w:rsidRPr="009A6BD2">
        <w:rPr>
          <w:rFonts w:ascii="Times New Roman" w:hAnsi="Times New Roman" w:cs="Times"/>
        </w:rPr>
        <w:t xml:space="preserve"> et hommes sont faits de la même chair comme disent les Buandik </w:t>
      </w:r>
      <w:r w:rsidRPr="009A6BD2">
        <w:rPr>
          <w:rStyle w:val="Rimandonotaapidipagina"/>
          <w:rFonts w:ascii="Times" w:hAnsi="Times New Roman" w:cs="Times"/>
        </w:rPr>
        <w:footnoteReference w:id="204"/>
      </w:r>
      <w:r w:rsidRPr="009A6BD2">
        <w:rPr>
          <w:rFonts w:ascii="Times New Roman" w:hAnsi="Times New Roman" w:cs="Times"/>
        </w:rPr>
        <w:t>. En raison de cette parenté, l'homme voit dans les animaux de l'espèce totémi</w:t>
      </w:r>
      <w:r w:rsidRPr="009A6BD2">
        <w:rPr>
          <w:rFonts w:ascii="Times" w:hAnsi="Times New Roman" w:cs="Times"/>
        </w:rPr>
        <w:softHyphen/>
      </w:r>
      <w:r w:rsidRPr="009A6BD2">
        <w:rPr>
          <w:rFonts w:ascii="Times New Roman" w:hAnsi="Times New Roman" w:cs="Times"/>
        </w:rPr>
        <w:t>que de bienfaisants associés sur l'assistance desquels il croit pouvoir compter. Il les appelle à son aide </w:t>
      </w:r>
      <w:r w:rsidRPr="009A6BD2">
        <w:rPr>
          <w:rStyle w:val="Rimandonotaapidipagina"/>
          <w:rFonts w:ascii="Times" w:hAnsi="Times New Roman" w:cs="Times"/>
        </w:rPr>
        <w:footnoteReference w:id="205"/>
      </w:r>
      <w:r w:rsidRPr="009A6BD2">
        <w:rPr>
          <w:rFonts w:ascii="Times New Roman" w:hAnsi="Times New Roman" w:cs="Times"/>
        </w:rPr>
        <w:t xml:space="preserve"> et </w:t>
      </w:r>
      <w:r w:rsidRPr="009A6BD2">
        <w:rPr>
          <w:rFonts w:ascii="Times New Roman" w:hAnsi="Times New Roman" w:cs="Times"/>
        </w:rPr>
        <w:t>ils viennent guider ses coups à la chasse, l'avertir des dangers qu'il peut courir </w:t>
      </w:r>
      <w:r w:rsidRPr="009A6BD2">
        <w:rPr>
          <w:rStyle w:val="Rimandonotaapidipagina"/>
          <w:rFonts w:ascii="Times" w:hAnsi="Times New Roman" w:cs="Times"/>
        </w:rPr>
        <w:footnoteReference w:id="206"/>
      </w:r>
      <w:r w:rsidRPr="009A6BD2">
        <w:rPr>
          <w:rFonts w:ascii="Times New Roman" w:hAnsi="Times New Roman" w:cs="Times"/>
        </w:rPr>
        <w:t>. En échange, il les traite avec égards, il ne les brutalise pas </w:t>
      </w:r>
      <w:r w:rsidRPr="009A6BD2">
        <w:rPr>
          <w:rStyle w:val="Rimandonotaapidipagina"/>
          <w:rFonts w:ascii="Times" w:hAnsi="Times New Roman" w:cs="Times"/>
        </w:rPr>
        <w:footnoteReference w:id="207"/>
      </w:r>
      <w:r w:rsidRPr="009A6BD2">
        <w:rPr>
          <w:rFonts w:ascii="Times New Roman" w:hAnsi="Times New Roman" w:cs="Times"/>
        </w:rPr>
        <w:t xml:space="preserve"> ; mais les soins qu'il leur rend ne ressemblent aucunement à un culte.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L'homme paraît même parfois avoi</w:t>
      </w:r>
      <w:r w:rsidRPr="009A6BD2">
        <w:rPr>
          <w:rFonts w:ascii="Times New Roman" w:hAnsi="Times New Roman" w:cs="Times"/>
        </w:rPr>
        <w:t>r sur son totem une sorte de droit mystique de propri</w:t>
      </w:r>
      <w:r w:rsidRPr="009A6BD2">
        <w:rPr>
          <w:rFonts w:ascii="Times" w:hAnsi="Times New Roman" w:cs="Times"/>
        </w:rPr>
        <w:softHyphen/>
      </w:r>
      <w:r w:rsidRPr="009A6BD2">
        <w:rPr>
          <w:rFonts w:ascii="Times New Roman" w:hAnsi="Times New Roman" w:cs="Times"/>
        </w:rPr>
        <w:t>été. L'interdiction de le tuer et de le manger ne s'applique naturellement qu'aux membres du clan; elle ne pourrait s'étendre aux personnes étrangères sans rendre la vie matériellement impossible. Si, d</w:t>
      </w:r>
      <w:r w:rsidRPr="009A6BD2">
        <w:rPr>
          <w:rFonts w:ascii="Times New Roman" w:hAnsi="Times New Roman" w:cs="Times"/>
        </w:rPr>
        <w:t>ans une tribu comme celle des Arunta, où il y a une multitude de totems différents, il était interdit de manger non seulement de l'animal ou de la plante dont on porte le nom, mais encore de tous les animaux et de toutes les plantes qui servent de totems a</w:t>
      </w:r>
      <w:r w:rsidRPr="009A6BD2">
        <w:rPr>
          <w:rFonts w:ascii="Times New Roman" w:hAnsi="Times New Roman" w:cs="Times"/>
        </w:rPr>
        <w:t>ux autres clans, les ressources alimentaires seraient réduites à rien. Il y a cependant des tribus où la consommation de la plante ou de l'animal totémique n'est pas permise sans restrictions, même à l'étranger. Chez les Wakelbura, elle ne doit pas avoir l</w:t>
      </w:r>
      <w:r w:rsidRPr="009A6BD2">
        <w:rPr>
          <w:rFonts w:ascii="Times New Roman" w:hAnsi="Times New Roman" w:cs="Times"/>
        </w:rPr>
        <w:t>ieu en présence des gens du totem </w:t>
      </w:r>
      <w:r w:rsidRPr="009A6BD2">
        <w:rPr>
          <w:rStyle w:val="Rimandonotaapidipagina"/>
          <w:rFonts w:ascii="Times" w:hAnsi="Times New Roman" w:cs="Times"/>
        </w:rPr>
        <w:footnoteReference w:id="208"/>
      </w:r>
      <w:r w:rsidRPr="009A6BD2">
        <w:rPr>
          <w:rFonts w:ascii="Times New Roman" w:hAnsi="Times New Roman" w:cs="Times"/>
        </w:rPr>
        <w:t xml:space="preserve">. Ailleurs, il faut leur permission. Par exemple, chez les Kaitish et les Unmatjera, quand un homme du totem de l'Émou, se trouvant dans une localité occupée par un clan de la Semence de l'herbage (grass </w:t>
      </w:r>
      <w:r w:rsidRPr="009A6BD2">
        <w:rPr>
          <w:rFonts w:ascii="Times New Roman" w:hAnsi="Times New Roman" w:cs="Times"/>
          <w:i/>
          <w:iCs/>
        </w:rPr>
        <w:t xml:space="preserve">seed), </w:t>
      </w:r>
      <w:r w:rsidRPr="009A6BD2">
        <w:rPr>
          <w:rFonts w:ascii="Times New Roman" w:hAnsi="Times New Roman" w:cs="Times"/>
        </w:rPr>
        <w:t>cueille qu</w:t>
      </w:r>
      <w:r w:rsidRPr="009A6BD2">
        <w:rPr>
          <w:rFonts w:ascii="Times New Roman" w:hAnsi="Times New Roman" w:cs="Times"/>
        </w:rPr>
        <w:t>elques-unes de ces graines, il doit, avant d'en manger, aller trouver le chef et lui dire : « J'ai cueilli ces grains dans votre pays. » A quoi le chef répond : « C'est bien ; vous pouvez les manger. » Mais si l'homme de l'Émou en man</w:t>
      </w:r>
      <w:r w:rsidRPr="009A6BD2">
        <w:rPr>
          <w:rFonts w:ascii="Times" w:hAnsi="Times New Roman" w:cs="Times"/>
        </w:rPr>
        <w:softHyphen/>
      </w:r>
      <w:r w:rsidRPr="009A6BD2">
        <w:rPr>
          <w:rFonts w:ascii="Times New Roman" w:hAnsi="Times New Roman" w:cs="Times"/>
        </w:rPr>
        <w:t>geait avant d'avoir d</w:t>
      </w:r>
      <w:r w:rsidRPr="009A6BD2">
        <w:rPr>
          <w:rFonts w:ascii="Times New Roman" w:hAnsi="Times New Roman" w:cs="Times"/>
        </w:rPr>
        <w:t>emandé l'autorisation, on croit qu'il tomberait malade et courrait le risque de mourir </w:t>
      </w:r>
      <w:r w:rsidRPr="009A6BD2">
        <w:rPr>
          <w:rStyle w:val="Rimandonotaapidipagina"/>
          <w:rFonts w:ascii="Times" w:hAnsi="Times New Roman" w:cs="Times"/>
        </w:rPr>
        <w:footnoteReference w:id="209"/>
      </w:r>
      <w:r w:rsidRPr="009A6BD2">
        <w:rPr>
          <w:rFonts w:ascii="Times New Roman" w:hAnsi="Times New Roman" w:cs="Times"/>
        </w:rPr>
        <w:t>. Il y a même des cas où le chef du groupe doit prélever une petite part de l'aliment et la manger lui-même : c'est une sorte de redevance qu'on est tenu d'acquitter </w:t>
      </w:r>
      <w:r w:rsidRPr="009A6BD2">
        <w:rPr>
          <w:rStyle w:val="Rimandonotaapidipagina"/>
          <w:rFonts w:ascii="Times" w:hAnsi="Times New Roman" w:cs="Times"/>
        </w:rPr>
        <w:footnoteReference w:id="210"/>
      </w:r>
      <w:r w:rsidRPr="009A6BD2">
        <w:rPr>
          <w:rFonts w:ascii="Times New Roman" w:hAnsi="Times New Roman" w:cs="Times"/>
        </w:rPr>
        <w:t>.</w:t>
      </w:r>
      <w:r w:rsidRPr="009A6BD2">
        <w:rPr>
          <w:rFonts w:ascii="Times New Roman" w:hAnsi="Times New Roman" w:cs="Times"/>
        </w:rPr>
        <w:t xml:space="preserve"> Pour la même raison, le churinga communique au chasseur un certain pouvoir sur l'animal correspondant: par exemple, on a plus de chances de prendre des euros </w:t>
      </w:r>
      <w:r w:rsidRPr="009A6BD2">
        <w:rPr>
          <w:rStyle w:val="Rimandonotaapidipagina"/>
          <w:rFonts w:ascii="Times" w:hAnsi="Times New Roman" w:cs="Times"/>
        </w:rPr>
        <w:footnoteReference w:id="211"/>
      </w:r>
      <w:r w:rsidRPr="009A6BD2">
        <w:rPr>
          <w:rFonts w:ascii="Times New Roman" w:hAnsi="Times New Roman" w:cs="Times"/>
        </w:rPr>
        <w:t>. C'est la preuve que le fait de participer à la nature d'un être totémique confère sur ce derni</w:t>
      </w:r>
      <w:r w:rsidRPr="009A6BD2">
        <w:rPr>
          <w:rFonts w:ascii="Times New Roman" w:hAnsi="Times New Roman" w:cs="Times"/>
        </w:rPr>
        <w:t>er une sorte de droit éminent. Enfin, il y a, dans le Queensland septentrional, une tribu, les Karingbool, où les gens du totem ont seuls le droit de tuer l'animal totémique ou, si le totem est un arbre, de le dépouiller de son écorce. Leur concours est in</w:t>
      </w:r>
      <w:r w:rsidRPr="009A6BD2">
        <w:rPr>
          <w:rFonts w:ascii="Times New Roman" w:hAnsi="Times New Roman" w:cs="Times"/>
        </w:rPr>
        <w:t>dispensable à tout étranger qui veut utiliser pour des fins personnelles la chair de cet animal ou le bois de cet arbre </w:t>
      </w:r>
      <w:r w:rsidRPr="009A6BD2">
        <w:rPr>
          <w:rStyle w:val="Rimandonotaapidipagina"/>
          <w:rFonts w:ascii="Times" w:hAnsi="Times New Roman" w:cs="Times"/>
        </w:rPr>
        <w:footnoteReference w:id="212"/>
      </w:r>
      <w:r w:rsidRPr="009A6BD2">
        <w:rPr>
          <w:rFonts w:ascii="Times New Roman" w:hAnsi="Times New Roman" w:cs="Times"/>
        </w:rPr>
        <w:t>. Ils jouent donc le rôle de propriétaires, bien qu'évidemment il s'agisse ici d'une propriété très spéciale et dont nous avons quelque</w:t>
      </w:r>
      <w:r w:rsidRPr="009A6BD2">
        <w:rPr>
          <w:rFonts w:ascii="Times New Roman" w:hAnsi="Times New Roman" w:cs="Times"/>
        </w:rPr>
        <w:t xml:space="preserve"> mal à nous faire une idée.</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14" w:name="livre_2_chap_3"/>
      <w:r w:rsidRPr="009A6BD2">
        <w:rPr>
          <w:rFonts w:ascii="Times New Roman" w:hAnsi="Times New Roman"/>
        </w:rPr>
        <w:t>CHAPITRE III</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LES CROYANCES PROPREMENT TOTÉMIQUES</w:t>
      </w:r>
    </w:p>
    <w:bookmarkEnd w:id="14"/>
    <w:p w:rsidR="009A6BD2" w:rsidRPr="009A6BD2" w:rsidRDefault="003E2D0F">
      <w:pPr>
        <w:jc w:val="center"/>
        <w:rPr>
          <w:rFonts w:ascii="Times New Roman" w:hAnsi="Times New Roman" w:cs="Times"/>
        </w:rPr>
      </w:pPr>
    </w:p>
    <w:p w:rsidR="009A6BD2" w:rsidRPr="009A6BD2" w:rsidRDefault="003E2D0F">
      <w:pPr>
        <w:pStyle w:val="suite"/>
        <w:rPr>
          <w:rFonts w:ascii="Times New Roman" w:hAnsi="Times New Roman"/>
        </w:rPr>
      </w:pPr>
      <w:r w:rsidRPr="009A6BD2">
        <w:rPr>
          <w:rFonts w:ascii="Times New Roman" w:hAnsi="Times New Roman"/>
        </w:rPr>
        <w:t>(Suite)</w:t>
      </w:r>
    </w:p>
    <w:p w:rsidR="009A6BD2" w:rsidRPr="009A6BD2" w:rsidRDefault="003E2D0F">
      <w:pPr>
        <w:rPr>
          <w:rFonts w:ascii="Times New Roman" w:hAnsi="Times New Roman" w:cs="Times"/>
        </w:rPr>
      </w:pPr>
    </w:p>
    <w:p w:rsidR="009A6BD2" w:rsidRPr="009A6BD2" w:rsidRDefault="003E2D0F">
      <w:pPr>
        <w:pStyle w:val="Niveau10"/>
        <w:rPr>
          <w:rFonts w:ascii="Times New Roman" w:hAnsi="Times New Roman"/>
        </w:rPr>
      </w:pPr>
      <w:bookmarkStart w:id="15" w:name="livre_2_chap_3_croyances_totemiques"/>
      <w:r w:rsidRPr="009A6BD2">
        <w:rPr>
          <w:rFonts w:ascii="Times New Roman" w:hAnsi="Times New Roman"/>
        </w:rPr>
        <w:t>III - Le système cosmologique du totémisme et la notion de genre</w:t>
      </w:r>
    </w:p>
    <w:bookmarkEnd w:id="15"/>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commence à entrevoir que le totémisme est une religion beaucoup plus complexe qu'il n'a pu se</w:t>
      </w:r>
      <w:r w:rsidRPr="009A6BD2">
        <w:rPr>
          <w:rFonts w:ascii="Times New Roman" w:hAnsi="Times New Roman" w:cs="Times"/>
        </w:rPr>
        <w:t>mbler au premier abord. Déjà nous avons distingué trois catégories de choses qu'il reconnaît, à des degrés divers, comme sacrées : l'emblème totémique, la plante on l'animal dont cet emblème reproduit l'aspect, les membres du clan. Cependant, ce tableau n'</w:t>
      </w:r>
      <w:r w:rsidRPr="009A6BD2">
        <w:rPr>
          <w:rFonts w:ascii="Times New Roman" w:hAnsi="Times New Roman" w:cs="Times"/>
        </w:rPr>
        <w:t>est pas encore complet. Une religion, en effet, n'est pas simplement une collection de croyances fragmentaires, relatives à des objets très particuliers comme ceux dont il vient d'être question. Toutes les religions connues ont été plus ou moins des systèm</w:t>
      </w:r>
      <w:r w:rsidRPr="009A6BD2">
        <w:rPr>
          <w:rFonts w:ascii="Times New Roman" w:hAnsi="Times New Roman" w:cs="Times"/>
        </w:rPr>
        <w:t>es d'idées qui tendaient à embrasser l'universalité des choses et à nous donner une représentation totale du monde. Pour que le totémisme puisse être considéré comme une religion comparable aux autres, il faut donc que lui aussi nous offre une conception d</w:t>
      </w:r>
      <w:r w:rsidRPr="009A6BD2">
        <w:rPr>
          <w:rFonts w:ascii="Times New Roman" w:hAnsi="Times New Roman" w:cs="Times"/>
        </w:rPr>
        <w:t>e l'univers. Or, il satisfait à cette condition.</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16" w:name="livre_2_chap_3_1"/>
      <w:r w:rsidRPr="009A6BD2">
        <w:rPr>
          <w:rFonts w:ascii="Times New Roman" w:hAnsi="Times New Roman"/>
        </w:rPr>
        <w:t>I</w:t>
      </w:r>
    </w:p>
    <w:bookmarkEnd w:id="16"/>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qui fait qu'on a généralement négligé cet aspect du totémisme, c'est qu'on s'est fait du clan une notion trop étroite. On n'y voit d'ordinaire qu'un groupe d'</w:t>
      </w:r>
      <w:r w:rsidRPr="009A6BD2">
        <w:rPr>
          <w:rFonts w:ascii="Times New Roman" w:hAnsi="Times New Roman" w:cs="Times"/>
        </w:rPr>
        <w:t>êtres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humains. Simple subdivision de la tribu, il semble que, comme celle-ci, il ne puisse être composé que d'hommes. Mais, en raisonnant ainsi, nous substituons nos idées européennes à celles que le primitif se fait du monde et de la société. Pour l'Aus</w:t>
      </w:r>
      <w:r w:rsidRPr="009A6BD2">
        <w:rPr>
          <w:rFonts w:ascii="Times New Roman" w:hAnsi="Times New Roman" w:cs="Times"/>
        </w:rPr>
        <w:t>tralien, les choses elles-mêmes, toutes les choses qui peuplent l'univers, font partie de la tribu; elles en sont des éléments constitutifs et, pour ainsi dire, des membres réguliers ; elles ont donc, tout comme les hommes, une place déterminée dans les ca</w:t>
      </w:r>
      <w:r w:rsidRPr="009A6BD2">
        <w:rPr>
          <w:rFonts w:ascii="Times New Roman" w:hAnsi="Times New Roman" w:cs="Times"/>
        </w:rPr>
        <w:t>dres de la société : « Le sauvage de l'Australie du sud, dit M. Fison, considère l'univers comme la grande tribu à l'une des divisions de laquelle il appartient, et toutes les choses, animées ou inanimées, qui sont rangées dans le même groupe que lui, sont</w:t>
      </w:r>
      <w:r w:rsidRPr="009A6BD2">
        <w:rPr>
          <w:rFonts w:ascii="Times New Roman" w:hAnsi="Times New Roman" w:cs="Times"/>
        </w:rPr>
        <w:t xml:space="preserve"> des parties du corps dont il est lui-même membre » </w:t>
      </w:r>
      <w:r w:rsidRPr="009A6BD2">
        <w:rPr>
          <w:rStyle w:val="Rimandonotaapidipagina"/>
          <w:rFonts w:ascii="Times" w:hAnsi="Times New Roman" w:cs="Times"/>
        </w:rPr>
        <w:footnoteReference w:id="213"/>
      </w:r>
      <w:r w:rsidRPr="009A6BD2">
        <w:rPr>
          <w:rFonts w:ascii="Times New Roman" w:hAnsi="Times New Roman" w:cs="Times"/>
        </w:rPr>
        <w:t>. En vertu de ce principe, quand la tribu est divisée en deux phratries, tous les êtres connus sont répartis entre elles. « Toute la nature, dit Palmer à propos des tribus de la rivière Bellinger, est di</w:t>
      </w:r>
      <w:r w:rsidRPr="009A6BD2">
        <w:rPr>
          <w:rFonts w:ascii="Times New Roman" w:hAnsi="Times New Roman" w:cs="Times"/>
        </w:rPr>
        <w:t>visée d'après les noms des phratries... Le soleil, la lune et les étoiles... appartiennent à telle ou telle phratrie tout comme les Noirs eux-mêmes » </w:t>
      </w:r>
      <w:r w:rsidRPr="009A6BD2">
        <w:rPr>
          <w:rStyle w:val="Rimandonotaapidipagina"/>
          <w:rFonts w:ascii="Times" w:hAnsi="Times New Roman" w:cs="Times"/>
        </w:rPr>
        <w:footnoteReference w:id="214"/>
      </w:r>
      <w:r w:rsidRPr="009A6BD2">
        <w:rPr>
          <w:rFonts w:ascii="Times New Roman" w:hAnsi="Times New Roman" w:cs="Times"/>
        </w:rPr>
        <w:t>. La tribu de Port-Mackay, dans le Queensland, comprend deux phratries qui portent les noms de Yungaroo e</w:t>
      </w:r>
      <w:r w:rsidRPr="009A6BD2">
        <w:rPr>
          <w:rFonts w:ascii="Times New Roman" w:hAnsi="Times New Roman" w:cs="Times"/>
        </w:rPr>
        <w:t>t de Wootaroo, et il en est de même des tribus voisines. Or, dit Bridgmann, « toutes les choses animées et inanimées sont divisées par ces tribus en deux classes appelées Yungaroo et Wootaroo » </w:t>
      </w:r>
      <w:r w:rsidRPr="009A6BD2">
        <w:rPr>
          <w:rStyle w:val="Rimandonotaapidipagina"/>
          <w:rFonts w:ascii="Times" w:hAnsi="Times New Roman" w:cs="Times"/>
        </w:rPr>
        <w:footnoteReference w:id="215"/>
      </w:r>
      <w:r w:rsidRPr="009A6BD2">
        <w:rPr>
          <w:rFonts w:ascii="Times New Roman" w:hAnsi="Times New Roman" w:cs="Times"/>
        </w:rPr>
        <w:t>. Mais là ne s'arrête pas cette classification. Les hommes de</w:t>
      </w:r>
      <w:r w:rsidRPr="009A6BD2">
        <w:rPr>
          <w:rFonts w:ascii="Times New Roman" w:hAnsi="Times New Roman" w:cs="Times"/>
        </w:rPr>
        <w:t xml:space="preserve"> chaque phratrie sont répartis entre un certain nombre de clans ; de même, les choses affectées à chaque phratrie sont réparties, à leur tour, entre les clans qui la composent. Tel arbre, par exemple, sera attribué au clan du Kangourou et à lui seul et aur</w:t>
      </w:r>
      <w:r w:rsidRPr="009A6BD2">
        <w:rPr>
          <w:rFonts w:ascii="Times New Roman" w:hAnsi="Times New Roman" w:cs="Times"/>
        </w:rPr>
        <w:t>a, par conséquent, tout comme les membres humains de ce clan, le Kangourou pour totem ; tel autre ressortira au clan du Serpent ; les nuages seront rangés sous tel totem, le soleil sous tel autre, etc. Tous les êtres connus se trouvent ainsi disposés en un</w:t>
      </w:r>
      <w:r w:rsidRPr="009A6BD2">
        <w:rPr>
          <w:rFonts w:ascii="Times New Roman" w:hAnsi="Times New Roman" w:cs="Times"/>
        </w:rPr>
        <w:t>e sorte de tableau, de classification systématique qui embrasse la nature tout entière.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avons reproduit ailleurs un certain nombre de ces classifications </w:t>
      </w:r>
      <w:r w:rsidRPr="009A6BD2">
        <w:rPr>
          <w:rStyle w:val="Rimandonotaapidipagina"/>
          <w:rFonts w:ascii="Times" w:hAnsi="Times New Roman" w:cs="Times"/>
        </w:rPr>
        <w:footnoteReference w:id="216"/>
      </w:r>
      <w:r w:rsidRPr="009A6BD2">
        <w:rPr>
          <w:rFonts w:ascii="Times New Roman" w:hAnsi="Times New Roman" w:cs="Times"/>
        </w:rPr>
        <w:t xml:space="preserve"> ; nous nous bornons à en rappeler quelques-unes à titre d'exemples. L'une des plus connues est</w:t>
      </w:r>
      <w:r w:rsidRPr="009A6BD2">
        <w:rPr>
          <w:rFonts w:ascii="Times New Roman" w:hAnsi="Times New Roman" w:cs="Times"/>
        </w:rPr>
        <w:t xml:space="preserve"> celle que l'on a observée dans la tribu du Mont-Gambier. Cette tribu comprend deux phratries qui portent le nom, l'une de Kumite, et l'autre de Kroki ; chacune d'elles à son tour est divisée en cinq clans. Or, « toutes les choses de la nature appartiennen</w:t>
      </w:r>
      <w:r w:rsidRPr="009A6BD2">
        <w:rPr>
          <w:rFonts w:ascii="Times New Roman" w:hAnsi="Times New Roman" w:cs="Times"/>
        </w:rPr>
        <w:t>t à l'un ou à l'autre de ces dix clans » </w:t>
      </w:r>
      <w:r w:rsidRPr="009A6BD2">
        <w:rPr>
          <w:rStyle w:val="Rimandonotaapidipagina"/>
          <w:rFonts w:ascii="Times" w:hAnsi="Times New Roman" w:cs="Times"/>
        </w:rPr>
        <w:footnoteReference w:id="217"/>
      </w:r>
      <w:r w:rsidRPr="009A6BD2">
        <w:rPr>
          <w:rFonts w:ascii="Times New Roman" w:hAnsi="Times New Roman" w:cs="Times"/>
        </w:rPr>
        <w:t xml:space="preserve"> : Fison et Howitt disent qu'elles y sont « incluses ». Elles sont, en effet, classées sous ces dix totems comme des espèces sous leurs genres respectifs. C'est ce que montre le tableau suivant, construit d'après l</w:t>
      </w:r>
      <w:r w:rsidRPr="009A6BD2">
        <w:rPr>
          <w:rFonts w:ascii="Times New Roman" w:hAnsi="Times New Roman" w:cs="Times"/>
        </w:rPr>
        <w:t>es renseignements recueillis par Curr et par Fison et Howitt </w:t>
      </w:r>
      <w:r w:rsidRPr="009A6BD2">
        <w:rPr>
          <w:rStyle w:val="Rimandonotaapidipagina"/>
          <w:rFonts w:ascii="Times" w:hAnsi="Times New Roman" w:cs="Times"/>
        </w:rPr>
        <w:footnoteReference w:id="218"/>
      </w:r>
      <w:r w:rsidRPr="009A6BD2">
        <w:rPr>
          <w:rFonts w:ascii="Times New Roman" w:hAnsi="Times New Roman" w:cs="Times"/>
        </w:rPr>
        <w:t>.</w:t>
      </w:r>
    </w:p>
    <w:p w:rsidR="009A6BD2" w:rsidRPr="009A6BD2" w:rsidRDefault="003E2D0F">
      <w:pPr>
        <w:rPr>
          <w:rFonts w:ascii="Times New Roman" w:hAnsi="Times New Roman" w:cs="Times"/>
        </w:rPr>
      </w:pPr>
      <w:r w:rsidRPr="009A6BD2">
        <w:rPr>
          <w:rFonts w:ascii="Times New Roman" w:hAnsi="Times New Roman" w:cs="Times"/>
        </w:rPr>
        <w:br w:type="page"/>
      </w:r>
    </w:p>
    <w:tbl>
      <w:tblPr>
        <w:tblW w:w="0" w:type="auto"/>
        <w:tblLayout w:type="fixed"/>
        <w:tblCellMar>
          <w:left w:w="70" w:type="dxa"/>
          <w:right w:w="70" w:type="dxa"/>
        </w:tblCellMar>
        <w:tblLook w:val="0000" w:firstRow="0" w:lastRow="0" w:firstColumn="0" w:lastColumn="0" w:noHBand="0" w:noVBand="0"/>
      </w:tblPr>
      <w:tblGrid>
        <w:gridCol w:w="1690"/>
        <w:gridCol w:w="2880"/>
        <w:gridCol w:w="4410"/>
      </w:tblGrid>
      <w:tr w:rsidR="009A6BD2" w:rsidRPr="009A6BD2">
        <w:tblPrEx>
          <w:tblCellMar>
            <w:top w:w="0" w:type="dxa"/>
            <w:bottom w:w="0" w:type="dxa"/>
          </w:tblCellMar>
        </w:tblPrEx>
        <w:tc>
          <w:tcPr>
            <w:tcW w:w="1690" w:type="dxa"/>
            <w:tcBorders>
              <w:top w:val="single" w:sz="4" w:space="0" w:color="auto"/>
              <w:left w:val="single" w:sz="4" w:space="0" w:color="auto"/>
              <w:bottom w:val="single" w:sz="4" w:space="0" w:color="auto"/>
              <w:right w:val="single" w:sz="4" w:space="0" w:color="auto"/>
            </w:tcBorders>
            <w:shd w:val="clear" w:color="auto" w:fill="F3F3F3"/>
          </w:tcPr>
          <w:p w:rsidR="009A6BD2" w:rsidRPr="009A6BD2" w:rsidRDefault="003E2D0F">
            <w:pPr>
              <w:spacing w:before="240" w:after="120"/>
              <w:ind w:firstLine="0"/>
              <w:jc w:val="center"/>
              <w:rPr>
                <w:rFonts w:ascii="Times" w:hAnsi="Times New Roman" w:cs="Times"/>
                <w:b/>
                <w:bCs/>
              </w:rPr>
            </w:pPr>
            <w:r w:rsidRPr="009A6BD2">
              <w:rPr>
                <w:rFonts w:ascii="Times New Roman" w:hAnsi="Times New Roman" w:cs="Times"/>
                <w:b/>
                <w:bCs/>
              </w:rPr>
              <w:t>PHRATRIES</w:t>
            </w:r>
          </w:p>
        </w:tc>
        <w:tc>
          <w:tcPr>
            <w:tcW w:w="2880" w:type="dxa"/>
            <w:tcBorders>
              <w:top w:val="single" w:sz="4" w:space="0" w:color="auto"/>
              <w:left w:val="single" w:sz="4" w:space="0" w:color="auto"/>
              <w:bottom w:val="single" w:sz="4" w:space="0" w:color="auto"/>
              <w:right w:val="single" w:sz="4" w:space="0" w:color="auto"/>
            </w:tcBorders>
            <w:shd w:val="clear" w:color="auto" w:fill="F3F3F3"/>
          </w:tcPr>
          <w:p w:rsidR="009A6BD2" w:rsidRPr="009A6BD2" w:rsidRDefault="003E2D0F">
            <w:pPr>
              <w:spacing w:before="240" w:after="120"/>
              <w:ind w:firstLine="0"/>
              <w:jc w:val="center"/>
              <w:rPr>
                <w:rFonts w:ascii="Times" w:hAnsi="Times New Roman" w:cs="Times"/>
                <w:b/>
                <w:bCs/>
              </w:rPr>
            </w:pPr>
            <w:r w:rsidRPr="009A6BD2">
              <w:rPr>
                <w:rFonts w:ascii="Times New Roman" w:hAnsi="Times New Roman" w:cs="Times"/>
                <w:b/>
                <w:bCs/>
              </w:rPr>
              <w:t>CLANS</w:t>
            </w:r>
          </w:p>
        </w:tc>
        <w:tc>
          <w:tcPr>
            <w:tcW w:w="4410" w:type="dxa"/>
            <w:tcBorders>
              <w:top w:val="single" w:sz="4" w:space="0" w:color="auto"/>
              <w:left w:val="single" w:sz="4" w:space="0" w:color="auto"/>
              <w:bottom w:val="single" w:sz="4" w:space="0" w:color="auto"/>
              <w:right w:val="single" w:sz="4" w:space="0" w:color="auto"/>
            </w:tcBorders>
            <w:shd w:val="clear" w:color="auto" w:fill="F3F3F3"/>
          </w:tcPr>
          <w:p w:rsidR="009A6BD2" w:rsidRPr="009A6BD2" w:rsidRDefault="003E2D0F">
            <w:pPr>
              <w:spacing w:before="240" w:after="120"/>
              <w:ind w:firstLine="0"/>
              <w:jc w:val="center"/>
              <w:rPr>
                <w:rFonts w:ascii="Times" w:hAnsi="Times New Roman" w:cs="Times"/>
                <w:b/>
                <w:bCs/>
              </w:rPr>
            </w:pPr>
            <w:r w:rsidRPr="009A6BD2">
              <w:rPr>
                <w:rFonts w:ascii="Times New Roman" w:hAnsi="Times New Roman" w:cs="Times"/>
                <w:b/>
                <w:bCs/>
              </w:rPr>
              <w:t>CHOSES CLASSÉES</w:t>
            </w:r>
            <w:r w:rsidRPr="009A6BD2">
              <w:rPr>
                <w:rFonts w:ascii="Times" w:hAnsi="Times New Roman" w:cs="Times"/>
                <w:b/>
                <w:bCs/>
              </w:rPr>
              <w:br/>
            </w:r>
            <w:r w:rsidRPr="009A6BD2">
              <w:rPr>
                <w:rFonts w:ascii="Times New Roman" w:hAnsi="Times New Roman" w:cs="Times"/>
                <w:b/>
                <w:bCs/>
              </w:rPr>
              <w:t>DANS CHAQUE CLAN</w:t>
            </w:r>
          </w:p>
        </w:tc>
      </w:tr>
      <w:tr w:rsidR="009A6BD2" w:rsidRPr="009A6BD2">
        <w:tblPrEx>
          <w:tblCellMar>
            <w:top w:w="0" w:type="dxa"/>
            <w:bottom w:w="0" w:type="dxa"/>
          </w:tblCellMar>
        </w:tblPrEx>
        <w:trPr>
          <w:cantSplit/>
          <w:trHeight w:val="3540"/>
        </w:trPr>
        <w:tc>
          <w:tcPr>
            <w:tcW w:w="1690" w:type="dxa"/>
            <w:tcBorders>
              <w:top w:val="single" w:sz="4" w:space="0" w:color="auto"/>
              <w:left w:val="single" w:sz="4" w:space="0" w:color="auto"/>
              <w:bottom w:val="single" w:sz="4" w:space="0" w:color="auto"/>
              <w:right w:val="single" w:sz="4" w:space="0" w:color="auto"/>
            </w:tcBorders>
            <w:vAlign w:val="center"/>
          </w:tcPr>
          <w:p w:rsidR="009A6BD2" w:rsidRPr="009A6BD2" w:rsidRDefault="003E2D0F">
            <w:pPr>
              <w:ind w:firstLine="0"/>
              <w:jc w:val="center"/>
              <w:rPr>
                <w:rFonts w:ascii="Times" w:hAnsi="Times New Roman" w:cs="Times"/>
              </w:rPr>
            </w:pPr>
            <w:r w:rsidRPr="009A6BD2">
              <w:rPr>
                <w:rFonts w:ascii="Times New Roman" w:hAnsi="Times New Roman" w:cs="Times"/>
              </w:rPr>
              <w:t>Kumite</w:t>
            </w:r>
          </w:p>
        </w:tc>
        <w:tc>
          <w:tcPr>
            <w:tcW w:w="2880" w:type="dxa"/>
            <w:tcBorders>
              <w:top w:val="single" w:sz="4" w:space="0" w:color="auto"/>
              <w:left w:val="single" w:sz="4" w:space="0" w:color="auto"/>
              <w:bottom w:val="single" w:sz="4" w:space="0" w:color="auto"/>
              <w:right w:val="single" w:sz="4" w:space="0" w:color="auto"/>
            </w:tcBorders>
          </w:tcPr>
          <w:p w:rsidR="009A6BD2" w:rsidRPr="009A6BD2" w:rsidRDefault="003E2D0F">
            <w:pPr>
              <w:spacing w:before="240" w:after="120"/>
              <w:ind w:left="110" w:firstLine="0"/>
              <w:rPr>
                <w:rFonts w:ascii="Times New Roman" w:hAnsi="Times New Roman" w:cs="Times"/>
              </w:rPr>
            </w:pPr>
            <w:r w:rsidRPr="009A6BD2">
              <w:rPr>
                <w:rFonts w:ascii="Times New Roman" w:hAnsi="Times New Roman" w:cs="Times"/>
              </w:rPr>
              <w:t>Le faucon pêcheur</w:t>
            </w:r>
          </w:p>
          <w:p w:rsidR="009A6BD2" w:rsidRPr="009A6BD2" w:rsidRDefault="003E2D0F">
            <w:pPr>
              <w:spacing w:before="480" w:after="120"/>
              <w:ind w:left="110" w:firstLine="0"/>
              <w:rPr>
                <w:rFonts w:ascii="Times New Roman" w:hAnsi="Times New Roman" w:cs="Times"/>
              </w:rPr>
            </w:pPr>
            <w:r w:rsidRPr="009A6BD2">
              <w:rPr>
                <w:rFonts w:ascii="Times New Roman" w:hAnsi="Times New Roman" w:cs="Times"/>
              </w:rPr>
              <w:t>Le pélican</w:t>
            </w:r>
          </w:p>
          <w:p w:rsidR="009A6BD2" w:rsidRPr="009A6BD2" w:rsidRDefault="003E2D0F">
            <w:pPr>
              <w:spacing w:before="480" w:after="120"/>
              <w:ind w:left="110" w:firstLine="6"/>
              <w:rPr>
                <w:rFonts w:ascii="Times New Roman" w:hAnsi="Times New Roman" w:cs="Times"/>
              </w:rPr>
            </w:pPr>
            <w:r w:rsidRPr="009A6BD2">
              <w:rPr>
                <w:rFonts w:ascii="Times New Roman" w:hAnsi="Times New Roman" w:cs="Times"/>
              </w:rPr>
              <w:t>Le corbeau</w:t>
            </w:r>
          </w:p>
          <w:p w:rsidR="009A6BD2" w:rsidRPr="009A6BD2" w:rsidRDefault="003E2D0F">
            <w:pPr>
              <w:spacing w:before="480" w:after="120"/>
              <w:ind w:left="110" w:firstLine="6"/>
              <w:rPr>
                <w:rFonts w:ascii="Times New Roman" w:hAnsi="Times New Roman" w:cs="Times"/>
              </w:rPr>
            </w:pPr>
            <w:r w:rsidRPr="009A6BD2">
              <w:rPr>
                <w:rFonts w:ascii="Times New Roman" w:hAnsi="Times New Roman" w:cs="Times"/>
              </w:rPr>
              <w:t>Le kakatoès noir</w:t>
            </w:r>
          </w:p>
          <w:p w:rsidR="009A6BD2" w:rsidRPr="009A6BD2" w:rsidRDefault="003E2D0F">
            <w:pPr>
              <w:spacing w:before="360"/>
              <w:ind w:left="110" w:firstLine="6"/>
              <w:rPr>
                <w:rFonts w:ascii="Times" w:hAnsi="Times New Roman" w:cs="Times"/>
              </w:rPr>
            </w:pPr>
            <w:r w:rsidRPr="009A6BD2">
              <w:rPr>
                <w:rFonts w:ascii="Times New Roman" w:hAnsi="Times New Roman" w:cs="Times"/>
              </w:rPr>
              <w:t>Un serpent sans venin</w:t>
            </w:r>
          </w:p>
        </w:tc>
        <w:tc>
          <w:tcPr>
            <w:tcW w:w="4410" w:type="dxa"/>
            <w:tcBorders>
              <w:top w:val="single" w:sz="4" w:space="0" w:color="auto"/>
              <w:left w:val="single" w:sz="4" w:space="0" w:color="auto"/>
              <w:bottom w:val="single" w:sz="4" w:space="0" w:color="auto"/>
              <w:right w:val="single" w:sz="4" w:space="0" w:color="auto"/>
            </w:tcBorders>
          </w:tcPr>
          <w:p w:rsidR="009A6BD2" w:rsidRPr="009A6BD2" w:rsidRDefault="003E2D0F">
            <w:pPr>
              <w:tabs>
                <w:tab w:val="left" w:pos="380"/>
              </w:tabs>
              <w:spacing w:before="240"/>
              <w:ind w:left="374" w:hanging="360"/>
              <w:rPr>
                <w:rFonts w:ascii="Times New Roman" w:hAnsi="Times New Roman" w:cs="Times"/>
              </w:rPr>
            </w:pPr>
            <w:r w:rsidRPr="009A6BD2">
              <w:rPr>
                <w:rFonts w:ascii="Times New Roman" w:hAnsi="Times New Roman" w:cs="Times"/>
              </w:rPr>
              <w:t>La fumée, le chèvrefeuille, certains arbres, etc.</w:t>
            </w:r>
          </w:p>
          <w:p w:rsidR="009A6BD2" w:rsidRPr="009A6BD2" w:rsidRDefault="003E2D0F">
            <w:pPr>
              <w:tabs>
                <w:tab w:val="left" w:pos="380"/>
              </w:tabs>
              <w:spacing w:before="240"/>
              <w:ind w:left="380" w:hanging="360"/>
              <w:rPr>
                <w:rFonts w:ascii="Times New Roman" w:hAnsi="Times New Roman" w:cs="Times"/>
              </w:rPr>
            </w:pPr>
            <w:r w:rsidRPr="009A6BD2">
              <w:rPr>
                <w:rFonts w:ascii="Times New Roman" w:hAnsi="Times New Roman" w:cs="Times"/>
              </w:rPr>
              <w:t>L'ar</w:t>
            </w:r>
            <w:r w:rsidRPr="009A6BD2">
              <w:rPr>
                <w:rFonts w:ascii="Times New Roman" w:hAnsi="Times New Roman" w:cs="Times"/>
              </w:rPr>
              <w:t>bre à bois noir, les chiens, le feu, la glace, etc.</w:t>
            </w:r>
          </w:p>
          <w:p w:rsidR="009A6BD2" w:rsidRPr="009A6BD2" w:rsidRDefault="003E2D0F">
            <w:pPr>
              <w:tabs>
                <w:tab w:val="left" w:pos="380"/>
              </w:tabs>
              <w:spacing w:before="240"/>
              <w:ind w:left="374" w:hanging="360"/>
              <w:rPr>
                <w:rFonts w:ascii="Times New Roman" w:hAnsi="Times New Roman" w:cs="Times"/>
              </w:rPr>
            </w:pPr>
            <w:r w:rsidRPr="009A6BD2">
              <w:rPr>
                <w:rFonts w:ascii="Times New Roman" w:hAnsi="Times New Roman" w:cs="Times"/>
              </w:rPr>
              <w:t>La pluie, le tonnerre, l'éclair, les nuages, la grêle, l'hiver, etc.</w:t>
            </w:r>
          </w:p>
          <w:p w:rsidR="009A6BD2" w:rsidRPr="009A6BD2" w:rsidRDefault="003E2D0F">
            <w:pPr>
              <w:tabs>
                <w:tab w:val="left" w:pos="380"/>
              </w:tabs>
              <w:spacing w:before="240"/>
              <w:ind w:left="380" w:hanging="360"/>
              <w:rPr>
                <w:rFonts w:ascii="Times New Roman" w:hAnsi="Times New Roman" w:cs="Times"/>
              </w:rPr>
            </w:pPr>
            <w:r w:rsidRPr="009A6BD2">
              <w:rPr>
                <w:rFonts w:ascii="Times New Roman" w:hAnsi="Times New Roman" w:cs="Times"/>
              </w:rPr>
              <w:t>Les étoiles, la lune, etc.</w:t>
            </w:r>
          </w:p>
          <w:p w:rsidR="009A6BD2" w:rsidRPr="009A6BD2" w:rsidRDefault="003E2D0F">
            <w:pPr>
              <w:tabs>
                <w:tab w:val="left" w:pos="380"/>
              </w:tabs>
              <w:spacing w:before="240" w:after="240"/>
              <w:ind w:left="374" w:hanging="360"/>
              <w:rPr>
                <w:rFonts w:ascii="Times" w:hAnsi="Times New Roman" w:cs="Times"/>
              </w:rPr>
            </w:pPr>
            <w:r w:rsidRPr="009A6BD2">
              <w:rPr>
                <w:rFonts w:ascii="Times New Roman" w:hAnsi="Times New Roman" w:cs="Times"/>
              </w:rPr>
              <w:t>Le poisson, le phoque, l'anguille les arbres à écorces fibreuses, etc.</w:t>
            </w:r>
          </w:p>
        </w:tc>
      </w:tr>
      <w:tr w:rsidR="009A6BD2" w:rsidRPr="009A6BD2">
        <w:tblPrEx>
          <w:tblCellMar>
            <w:top w:w="0" w:type="dxa"/>
            <w:bottom w:w="0" w:type="dxa"/>
          </w:tblCellMar>
        </w:tblPrEx>
        <w:trPr>
          <w:cantSplit/>
          <w:trHeight w:val="2020"/>
        </w:trPr>
        <w:tc>
          <w:tcPr>
            <w:tcW w:w="1690" w:type="dxa"/>
            <w:vMerge w:val="restart"/>
            <w:tcBorders>
              <w:top w:val="single" w:sz="4" w:space="0" w:color="auto"/>
              <w:left w:val="single" w:sz="4" w:space="0" w:color="auto"/>
              <w:bottom w:val="single" w:sz="4" w:space="0" w:color="auto"/>
              <w:right w:val="single" w:sz="4" w:space="0" w:color="auto"/>
            </w:tcBorders>
            <w:vAlign w:val="center"/>
          </w:tcPr>
          <w:p w:rsidR="009A6BD2" w:rsidRPr="009A6BD2" w:rsidRDefault="003E2D0F">
            <w:pPr>
              <w:ind w:firstLine="0"/>
              <w:jc w:val="center"/>
              <w:rPr>
                <w:rFonts w:ascii="Times" w:hAnsi="Times New Roman" w:cs="Times"/>
              </w:rPr>
            </w:pPr>
            <w:r w:rsidRPr="009A6BD2">
              <w:rPr>
                <w:rFonts w:ascii="Times New Roman" w:hAnsi="Times New Roman" w:cs="Times"/>
              </w:rPr>
              <w:t>Kroki</w:t>
            </w:r>
          </w:p>
        </w:tc>
        <w:tc>
          <w:tcPr>
            <w:tcW w:w="2880" w:type="dxa"/>
            <w:tcBorders>
              <w:top w:val="single" w:sz="4" w:space="0" w:color="auto"/>
              <w:left w:val="single" w:sz="4" w:space="0" w:color="auto"/>
              <w:bottom w:val="single" w:sz="4" w:space="0" w:color="auto"/>
              <w:right w:val="single" w:sz="4" w:space="0" w:color="auto"/>
            </w:tcBorders>
          </w:tcPr>
          <w:p w:rsidR="009A6BD2" w:rsidRPr="009A6BD2" w:rsidRDefault="003E2D0F">
            <w:pPr>
              <w:spacing w:before="240"/>
              <w:ind w:left="110" w:firstLine="0"/>
              <w:rPr>
                <w:rFonts w:ascii="Times New Roman" w:hAnsi="Times New Roman" w:cs="Times"/>
              </w:rPr>
            </w:pPr>
            <w:r w:rsidRPr="009A6BD2">
              <w:rPr>
                <w:rFonts w:ascii="Times New Roman" w:hAnsi="Times New Roman" w:cs="Times"/>
              </w:rPr>
              <w:t>L'arbre à thé</w:t>
            </w:r>
          </w:p>
          <w:p w:rsidR="009A6BD2" w:rsidRPr="009A6BD2" w:rsidRDefault="003E2D0F">
            <w:pPr>
              <w:spacing w:before="240"/>
              <w:ind w:left="110" w:firstLine="0"/>
              <w:rPr>
                <w:rFonts w:ascii="Times New Roman" w:hAnsi="Times New Roman" w:cs="Times"/>
              </w:rPr>
            </w:pPr>
            <w:r w:rsidRPr="009A6BD2">
              <w:rPr>
                <w:rFonts w:ascii="Times New Roman" w:hAnsi="Times New Roman" w:cs="Times"/>
              </w:rPr>
              <w:t>Une racine comes</w:t>
            </w:r>
            <w:r w:rsidRPr="009A6BD2">
              <w:rPr>
                <w:rFonts w:ascii="Times New Roman" w:hAnsi="Times New Roman" w:cs="Times"/>
              </w:rPr>
              <w:t>tible</w:t>
            </w:r>
          </w:p>
          <w:p w:rsidR="009A6BD2" w:rsidRPr="009A6BD2" w:rsidRDefault="003E2D0F">
            <w:pPr>
              <w:spacing w:before="480"/>
              <w:ind w:left="110" w:firstLine="14"/>
              <w:rPr>
                <w:rFonts w:ascii="Times" w:hAnsi="Times New Roman" w:cs="Times"/>
              </w:rPr>
            </w:pPr>
            <w:r w:rsidRPr="009A6BD2">
              <w:rPr>
                <w:rFonts w:ascii="Times New Roman" w:hAnsi="Times New Roman" w:cs="Times"/>
              </w:rPr>
              <w:t>Le kakatoès blanc sans crête</w:t>
            </w:r>
          </w:p>
        </w:tc>
        <w:tc>
          <w:tcPr>
            <w:tcW w:w="4410" w:type="dxa"/>
            <w:tcBorders>
              <w:top w:val="single" w:sz="4" w:space="0" w:color="auto"/>
              <w:left w:val="single" w:sz="4" w:space="0" w:color="auto"/>
              <w:bottom w:val="single" w:sz="4" w:space="0" w:color="auto"/>
              <w:right w:val="single" w:sz="4" w:space="0" w:color="auto"/>
            </w:tcBorders>
          </w:tcPr>
          <w:p w:rsidR="009A6BD2" w:rsidRPr="009A6BD2" w:rsidRDefault="003E2D0F">
            <w:pPr>
              <w:spacing w:before="240"/>
              <w:ind w:left="380" w:hanging="360"/>
              <w:rPr>
                <w:rFonts w:ascii="Times New Roman" w:hAnsi="Times New Roman" w:cs="Times"/>
              </w:rPr>
            </w:pPr>
            <w:r w:rsidRPr="009A6BD2">
              <w:rPr>
                <w:rFonts w:ascii="Times New Roman" w:hAnsi="Times New Roman" w:cs="Times"/>
              </w:rPr>
              <w:t>Le canard, l'écrevisse, le hibou, etc.</w:t>
            </w:r>
          </w:p>
          <w:p w:rsidR="009A6BD2" w:rsidRPr="009A6BD2" w:rsidRDefault="003E2D0F">
            <w:pPr>
              <w:spacing w:before="240"/>
              <w:ind w:left="380" w:hanging="360"/>
              <w:rPr>
                <w:rFonts w:ascii="Times New Roman" w:hAnsi="Times New Roman" w:cs="Times"/>
              </w:rPr>
            </w:pPr>
            <w:r w:rsidRPr="009A6BD2">
              <w:rPr>
                <w:rFonts w:ascii="Times New Roman" w:hAnsi="Times New Roman" w:cs="Times"/>
              </w:rPr>
              <w:t>L'outarde, la caille, une sorte de kangourou, etc.</w:t>
            </w:r>
          </w:p>
          <w:p w:rsidR="009A6BD2" w:rsidRPr="009A6BD2" w:rsidRDefault="003E2D0F">
            <w:pPr>
              <w:spacing w:before="240" w:after="120"/>
              <w:ind w:left="374" w:hanging="360"/>
              <w:rPr>
                <w:rFonts w:ascii="Times" w:hAnsi="Times New Roman" w:cs="Times"/>
              </w:rPr>
            </w:pPr>
            <w:r w:rsidRPr="009A6BD2">
              <w:rPr>
                <w:rFonts w:ascii="Times New Roman" w:hAnsi="Times New Roman" w:cs="Times"/>
              </w:rPr>
              <w:t>Le kangourou, l'été, le soleil, le vent, l'automne, etc.</w:t>
            </w:r>
          </w:p>
        </w:tc>
      </w:tr>
      <w:tr w:rsidR="009A6BD2" w:rsidRPr="009A6BD2">
        <w:tblPrEx>
          <w:tblCellMar>
            <w:top w:w="0" w:type="dxa"/>
            <w:bottom w:w="0" w:type="dxa"/>
          </w:tblCellMar>
        </w:tblPrEx>
        <w:trPr>
          <w:cantSplit/>
        </w:trPr>
        <w:tc>
          <w:tcPr>
            <w:tcW w:w="1690" w:type="dxa"/>
            <w:vMerge/>
            <w:tcBorders>
              <w:top w:val="single" w:sz="4" w:space="0" w:color="auto"/>
              <w:left w:val="single" w:sz="4" w:space="0" w:color="auto"/>
              <w:bottom w:val="single" w:sz="4" w:space="0" w:color="auto"/>
              <w:right w:val="single" w:sz="4" w:space="0" w:color="auto"/>
            </w:tcBorders>
          </w:tcPr>
          <w:p w:rsidR="009A6BD2" w:rsidRPr="009A6BD2" w:rsidRDefault="003E2D0F">
            <w:pPr>
              <w:spacing w:before="240"/>
              <w:ind w:firstLine="0"/>
              <w:rPr>
                <w:rFonts w:ascii="Times" w:hAnsi="Times New Roman" w:cs="Times"/>
              </w:rPr>
            </w:pPr>
          </w:p>
        </w:tc>
        <w:tc>
          <w:tcPr>
            <w:tcW w:w="7290" w:type="dxa"/>
            <w:gridSpan w:val="2"/>
            <w:tcBorders>
              <w:top w:val="single" w:sz="4" w:space="0" w:color="auto"/>
              <w:left w:val="single" w:sz="4" w:space="0" w:color="auto"/>
              <w:bottom w:val="single" w:sz="4" w:space="0" w:color="auto"/>
              <w:right w:val="single" w:sz="4" w:space="0" w:color="auto"/>
            </w:tcBorders>
          </w:tcPr>
          <w:p w:rsidR="009A6BD2" w:rsidRPr="009A6BD2" w:rsidRDefault="003E2D0F">
            <w:pPr>
              <w:spacing w:before="240" w:after="240"/>
              <w:ind w:left="110" w:firstLine="0"/>
              <w:rPr>
                <w:rFonts w:ascii="Times" w:hAnsi="Times New Roman" w:cs="Times"/>
              </w:rPr>
            </w:pPr>
            <w:r w:rsidRPr="009A6BD2">
              <w:rPr>
                <w:rFonts w:ascii="Times New Roman" w:hAnsi="Times New Roman" w:cs="Times"/>
              </w:rPr>
              <w:t>Sur le 4e et le 5e clan kroki, les détails manquent.</w:t>
            </w:r>
          </w:p>
        </w:tc>
      </w:tr>
    </w:tbl>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Corpodeltesto2"/>
        <w:ind w:left="0" w:firstLine="360"/>
        <w:jc w:val="both"/>
        <w:rPr>
          <w:rFonts w:ascii="Times New Roman" w:hAnsi="Times New Roman" w:cs="Times"/>
        </w:rPr>
      </w:pPr>
      <w:r w:rsidRPr="009A6BD2">
        <w:rPr>
          <w:rFonts w:ascii="Times New Roman" w:hAnsi="Times New Roman" w:cs="Times"/>
        </w:rPr>
        <w:t>La liste des cho</w:t>
      </w:r>
      <w:r w:rsidRPr="009A6BD2">
        <w:rPr>
          <w:rFonts w:ascii="Times New Roman" w:hAnsi="Times New Roman" w:cs="Times"/>
        </w:rPr>
        <w:t>ses ainsi rattachées à chaque clan est, d'ailleurs, fort incomplète; Curr nous avertit lui-même qu'il s'est borné à en énumérer quelques-unes. Mais grâce aux travaux de Mathews et de Howitt </w:t>
      </w:r>
      <w:r w:rsidRPr="009A6BD2">
        <w:rPr>
          <w:rStyle w:val="Rimandonotaapidipagina"/>
          <w:rFonts w:ascii="Times" w:hAnsi="Times New Roman" w:cs="Times"/>
        </w:rPr>
        <w:footnoteReference w:id="219"/>
      </w:r>
      <w:r w:rsidRPr="009A6BD2">
        <w:rPr>
          <w:rFonts w:ascii="Times New Roman" w:hAnsi="Times New Roman" w:cs="Times"/>
        </w:rPr>
        <w:t>, nous avons aujourd'hui, sur la classification adoptée par la tr</w:t>
      </w:r>
      <w:r w:rsidRPr="009A6BD2">
        <w:rPr>
          <w:rFonts w:ascii="Times New Roman" w:hAnsi="Times New Roman" w:cs="Times"/>
        </w:rPr>
        <w:t>ibu des Wotjobaluk, des renseignements plus étendus qui permettent de mieux comprendre comment un système de ce genre peut embrasser tout l'univers connu des indigènes. Les Wotjobaluk sont, eux aussi, divisés en deux phratries appelées l'une Gurogity, l'au</w:t>
      </w:r>
      <w:r w:rsidRPr="009A6BD2">
        <w:rPr>
          <w:rFonts w:ascii="Times New Roman" w:hAnsi="Times New Roman" w:cs="Times"/>
        </w:rPr>
        <w:t>tre Gumaty (Krokitch et Gamutch selon Howitt) </w:t>
      </w:r>
      <w:r w:rsidRPr="009A6BD2">
        <w:rPr>
          <w:rStyle w:val="Rimandonotaapidipagina"/>
          <w:rFonts w:ascii="Times" w:hAnsi="Times New Roman" w:cs="Times"/>
        </w:rPr>
        <w:footnoteReference w:id="220"/>
      </w:r>
      <w:r w:rsidRPr="009A6BD2">
        <w:rPr>
          <w:rFonts w:ascii="Times New Roman" w:hAnsi="Times New Roman" w:cs="Times"/>
        </w:rPr>
        <w:t xml:space="preserve"> : pour ne pas prolonger cette énumération, nous nous contenterons d'indiquer, d'après Mathews, les choses classées dans quelques-uns des clans de la phratrie Gurogity.</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i/>
          <w:iCs/>
        </w:rPr>
      </w:pPr>
      <w:r w:rsidRPr="009A6BD2">
        <w:rPr>
          <w:rFonts w:ascii="Times New Roman" w:hAnsi="Times New Roman" w:cs="Times"/>
        </w:rPr>
        <w:t>Dans le clan de l'Igname sont classés l</w:t>
      </w:r>
      <w:r w:rsidRPr="009A6BD2">
        <w:rPr>
          <w:rFonts w:ascii="Times New Roman" w:hAnsi="Times New Roman" w:cs="Times"/>
        </w:rPr>
        <w:t xml:space="preserve">e dindon des plaines, le chat indigène, le </w:t>
      </w:r>
      <w:r w:rsidRPr="009A6BD2">
        <w:rPr>
          <w:rFonts w:ascii="Times New Roman" w:hAnsi="Times New Roman" w:cs="Times"/>
          <w:i/>
          <w:iCs/>
        </w:rPr>
        <w:t xml:space="preserve">mopoke, </w:t>
      </w:r>
      <w:r w:rsidRPr="009A6BD2">
        <w:rPr>
          <w:rFonts w:ascii="Times New Roman" w:hAnsi="Times New Roman" w:cs="Times"/>
        </w:rPr>
        <w:t xml:space="preserve">le hibou </w:t>
      </w:r>
      <w:r w:rsidRPr="009A6BD2">
        <w:rPr>
          <w:rFonts w:ascii="Times New Roman" w:hAnsi="Times New Roman" w:cs="Times"/>
          <w:i/>
          <w:iCs/>
        </w:rPr>
        <w:t xml:space="preserve">dyim-dyim, </w:t>
      </w:r>
      <w:r w:rsidRPr="009A6BD2">
        <w:rPr>
          <w:rFonts w:ascii="Times New Roman" w:hAnsi="Times New Roman" w:cs="Times"/>
        </w:rPr>
        <w:t xml:space="preserve">la poule </w:t>
      </w:r>
      <w:r w:rsidRPr="009A6BD2">
        <w:rPr>
          <w:rFonts w:ascii="Times New Roman" w:hAnsi="Times New Roman" w:cs="Times"/>
          <w:i/>
          <w:iCs/>
        </w:rPr>
        <w:t xml:space="preserve">mallee, </w:t>
      </w:r>
      <w:r w:rsidRPr="009A6BD2">
        <w:rPr>
          <w:rFonts w:ascii="Times New Roman" w:hAnsi="Times New Roman" w:cs="Times"/>
        </w:rPr>
        <w:t xml:space="preserve">le perroquet rosella, le </w:t>
      </w:r>
      <w:r w:rsidRPr="009A6BD2">
        <w:rPr>
          <w:rFonts w:ascii="Times New Roman" w:hAnsi="Times New Roman" w:cs="Times"/>
          <w:i/>
          <w:iCs/>
        </w:rPr>
        <w:t>peewee.</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i/>
          <w:iCs/>
        </w:rPr>
      </w:pPr>
      <w:r w:rsidRPr="009A6BD2">
        <w:rPr>
          <w:rFonts w:ascii="Times New Roman" w:hAnsi="Times New Roman" w:cs="Times"/>
        </w:rPr>
        <w:t>Dans le clan de la Moule </w:t>
      </w:r>
      <w:r w:rsidRPr="009A6BD2">
        <w:rPr>
          <w:rStyle w:val="Rimandonotaapidipagina"/>
          <w:rFonts w:ascii="Times" w:hAnsi="Times New Roman" w:cs="Times"/>
        </w:rPr>
        <w:footnoteReference w:id="221"/>
      </w:r>
      <w:r w:rsidRPr="009A6BD2">
        <w:rPr>
          <w:rFonts w:ascii="Times New Roman" w:hAnsi="Times New Roman" w:cs="Times"/>
        </w:rPr>
        <w:t xml:space="preserve">, l'émou gris, le porc-épic, le courlis, le kakatoès blanc, le canard des bois, le lézard </w:t>
      </w:r>
      <w:r w:rsidRPr="009A6BD2">
        <w:rPr>
          <w:rFonts w:ascii="Times New Roman" w:hAnsi="Times New Roman" w:cs="Times"/>
          <w:i/>
          <w:iCs/>
        </w:rPr>
        <w:t xml:space="preserve">mallee, </w:t>
      </w:r>
      <w:r w:rsidRPr="009A6BD2">
        <w:rPr>
          <w:rFonts w:ascii="Times New Roman" w:hAnsi="Times New Roman" w:cs="Times"/>
        </w:rPr>
        <w:t xml:space="preserve">la tortue </w:t>
      </w:r>
      <w:r w:rsidRPr="009A6BD2">
        <w:rPr>
          <w:rFonts w:ascii="Times New Roman" w:hAnsi="Times New Roman" w:cs="Times"/>
        </w:rPr>
        <w:t xml:space="preserve">puante, l'écureuil volant, l'opossum à la queue en forme d'anneau, le pigeon aux ailes couleur de bronze </w:t>
      </w:r>
      <w:r w:rsidRPr="009A6BD2">
        <w:rPr>
          <w:rFonts w:ascii="Times New Roman" w:hAnsi="Times New Roman" w:cs="Times"/>
          <w:i/>
          <w:iCs/>
        </w:rPr>
        <w:t xml:space="preserve">(bronze-wing), </w:t>
      </w:r>
      <w:r w:rsidRPr="009A6BD2">
        <w:rPr>
          <w:rFonts w:ascii="Times New Roman" w:hAnsi="Times New Roman" w:cs="Times"/>
        </w:rPr>
        <w:t xml:space="preserve">le </w:t>
      </w:r>
      <w:r w:rsidRPr="009A6BD2">
        <w:rPr>
          <w:rFonts w:ascii="Times New Roman" w:hAnsi="Times New Roman" w:cs="Times"/>
          <w:i/>
          <w:iCs/>
        </w:rPr>
        <w:t>wijuggla.</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Dans le clan du Soleil, le bandicoot, la lune, le rat-kangourou, la pie noire et la pie blan</w:t>
      </w:r>
      <w:r w:rsidRPr="009A6BD2">
        <w:rPr>
          <w:rFonts w:ascii="Times" w:hAnsi="Times New Roman" w:cs="Times"/>
        </w:rPr>
        <w:softHyphen/>
      </w:r>
      <w:r w:rsidRPr="009A6BD2">
        <w:rPr>
          <w:rFonts w:ascii="Times New Roman" w:hAnsi="Times New Roman" w:cs="Times"/>
        </w:rPr>
        <w:t xml:space="preserve">che, l'opossum, le faucon </w:t>
      </w:r>
      <w:r w:rsidRPr="009A6BD2">
        <w:rPr>
          <w:rFonts w:ascii="Times New Roman" w:hAnsi="Times New Roman" w:cs="Times"/>
          <w:i/>
          <w:iCs/>
        </w:rPr>
        <w:t>ngù</w:t>
      </w:r>
      <w:r w:rsidRPr="009A6BD2">
        <w:rPr>
          <w:rFonts w:ascii="Times New Roman" w:hAnsi="Times New Roman" w:cs="Times"/>
          <w:i/>
          <w:iCs/>
        </w:rPr>
        <w:t xml:space="preserve">rt, </w:t>
      </w:r>
      <w:r w:rsidRPr="009A6BD2">
        <w:rPr>
          <w:rFonts w:ascii="Times New Roman" w:hAnsi="Times New Roman" w:cs="Times"/>
        </w:rPr>
        <w:t xml:space="preserve">la chenille du gommier, la chenille u </w:t>
      </w:r>
      <w:r w:rsidRPr="009A6BD2">
        <w:rPr>
          <w:rFonts w:ascii="Times New Roman" w:hAnsi="Times New Roman" w:cs="Times"/>
          <w:i/>
          <w:iCs/>
        </w:rPr>
        <w:t xml:space="preserve">mimoisa (wattle-tree), </w:t>
      </w:r>
      <w:r w:rsidRPr="009A6BD2">
        <w:rPr>
          <w:rFonts w:ascii="Times New Roman" w:hAnsi="Times New Roman" w:cs="Times"/>
        </w:rPr>
        <w:t>la planète Vénus.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Dans le clan du Vent chaud </w:t>
      </w:r>
      <w:r w:rsidRPr="009A6BD2">
        <w:rPr>
          <w:rStyle w:val="Rimandonotaapidipagina"/>
          <w:rFonts w:ascii="Times" w:hAnsi="Times New Roman" w:cs="Times"/>
        </w:rPr>
        <w:footnoteReference w:id="222"/>
      </w:r>
      <w:r w:rsidRPr="009A6BD2">
        <w:rPr>
          <w:rFonts w:ascii="Times New Roman" w:hAnsi="Times New Roman" w:cs="Times"/>
        </w:rPr>
        <w:t>, l'aigle faucon à tête grise, le serpent tapis, le perroquet fu</w:t>
      </w:r>
      <w:r w:rsidRPr="009A6BD2">
        <w:rPr>
          <w:rFonts w:ascii="Times" w:hAnsi="Times New Roman" w:cs="Times"/>
        </w:rPr>
        <w:softHyphen/>
      </w:r>
      <w:r w:rsidRPr="009A6BD2">
        <w:rPr>
          <w:rFonts w:ascii="Times New Roman" w:hAnsi="Times New Roman" w:cs="Times"/>
        </w:rPr>
        <w:t xml:space="preserve">meur, le perroquet à écailles </w:t>
      </w:r>
      <w:r w:rsidRPr="009A6BD2">
        <w:rPr>
          <w:rFonts w:ascii="Times New Roman" w:hAnsi="Times New Roman" w:cs="Times"/>
          <w:i/>
          <w:iCs/>
        </w:rPr>
        <w:t xml:space="preserve">(shell), </w:t>
      </w:r>
      <w:r w:rsidRPr="009A6BD2">
        <w:rPr>
          <w:rFonts w:ascii="Times New Roman" w:hAnsi="Times New Roman" w:cs="Times"/>
        </w:rPr>
        <w:t xml:space="preserve">le faucon </w:t>
      </w:r>
      <w:r w:rsidRPr="009A6BD2">
        <w:rPr>
          <w:rFonts w:ascii="Times New Roman" w:hAnsi="Times New Roman" w:cs="Times"/>
          <w:i/>
          <w:iCs/>
        </w:rPr>
        <w:t xml:space="preserve">murrakan, </w:t>
      </w:r>
      <w:r w:rsidRPr="009A6BD2">
        <w:rPr>
          <w:rFonts w:ascii="Times New Roman" w:hAnsi="Times New Roman" w:cs="Times"/>
        </w:rPr>
        <w:t xml:space="preserve">le serpent </w:t>
      </w:r>
      <w:r w:rsidRPr="009A6BD2">
        <w:rPr>
          <w:rFonts w:ascii="Times New Roman" w:hAnsi="Times New Roman" w:cs="Times"/>
          <w:i/>
          <w:iCs/>
        </w:rPr>
        <w:t>dikkomur</w:t>
      </w:r>
      <w:r w:rsidRPr="009A6BD2">
        <w:rPr>
          <w:rFonts w:ascii="Times New Roman" w:hAnsi="Times New Roman" w:cs="Times"/>
          <w:i/>
          <w:iCs/>
        </w:rPr>
        <w:t xml:space="preserve">, </w:t>
      </w:r>
      <w:r w:rsidRPr="009A6BD2">
        <w:rPr>
          <w:rFonts w:ascii="Times New Roman" w:hAnsi="Times New Roman" w:cs="Times"/>
        </w:rPr>
        <w:t xml:space="preserve">le perroquet à collier, le serpent </w:t>
      </w:r>
      <w:r w:rsidRPr="009A6BD2">
        <w:rPr>
          <w:rFonts w:ascii="Times New Roman" w:hAnsi="Times New Roman" w:cs="Times"/>
          <w:i/>
          <w:iCs/>
        </w:rPr>
        <w:t xml:space="preserve">mirndai, </w:t>
      </w:r>
      <w:r w:rsidRPr="009A6BD2">
        <w:rPr>
          <w:rFonts w:ascii="Times New Roman" w:hAnsi="Times New Roman" w:cs="Times"/>
        </w:rPr>
        <w:t>le lézard au dos chiné.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Si l'on songe qu'il y a bien d'autres clans (Howitt en nomme douze, Mathews quatorze et ce dernier prévient que sa liste est fort incomplète) </w:t>
      </w:r>
      <w:r w:rsidRPr="009A6BD2">
        <w:rPr>
          <w:rStyle w:val="Rimandonotaapidipagina"/>
          <w:rFonts w:ascii="Times" w:hAnsi="Times New Roman" w:cs="Times"/>
        </w:rPr>
        <w:footnoteReference w:id="223"/>
      </w:r>
      <w:r w:rsidRPr="009A6BD2">
        <w:rPr>
          <w:rFonts w:ascii="Times New Roman" w:hAnsi="Times New Roman" w:cs="Times"/>
        </w:rPr>
        <w:t xml:space="preserve">, on comprendra comment toutes les choses </w:t>
      </w:r>
      <w:r w:rsidRPr="009A6BD2">
        <w:rPr>
          <w:rFonts w:ascii="Times New Roman" w:hAnsi="Times New Roman" w:cs="Times"/>
        </w:rPr>
        <w:t>auxquelles s'intéresse l'indigène trouvent naturellement place dans ces classifications.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a observé des arrangements similaires sur les points les plus différents du continent australien : dans l'Australie du Sud, dans l'État de Victoria, dans la Nouvel</w:t>
      </w:r>
      <w:r w:rsidRPr="009A6BD2">
        <w:rPr>
          <w:rFonts w:ascii="Times New Roman" w:hAnsi="Times New Roman" w:cs="Times"/>
        </w:rPr>
        <w:t>le-Galles du Sud (chez les Euahlayi) </w:t>
      </w:r>
      <w:r w:rsidRPr="009A6BD2">
        <w:rPr>
          <w:rStyle w:val="Rimandonotaapidipagina"/>
          <w:rFonts w:ascii="Times" w:hAnsi="Times New Roman" w:cs="Times"/>
        </w:rPr>
        <w:footnoteReference w:id="224"/>
      </w:r>
      <w:r w:rsidRPr="009A6BD2">
        <w:rPr>
          <w:rFonts w:ascii="Times New Roman" w:hAnsi="Times New Roman" w:cs="Times"/>
        </w:rPr>
        <w:t xml:space="preserve"> ; on en trouve des traces très apparentes dans les tribus du centre </w:t>
      </w:r>
      <w:r w:rsidRPr="009A6BD2">
        <w:rPr>
          <w:rStyle w:val="Rimandonotaapidipagina"/>
          <w:rFonts w:ascii="Times" w:hAnsi="Times New Roman" w:cs="Times"/>
        </w:rPr>
        <w:footnoteReference w:id="225"/>
      </w:r>
      <w:r w:rsidRPr="009A6BD2">
        <w:rPr>
          <w:rFonts w:ascii="Times New Roman" w:hAnsi="Times New Roman" w:cs="Times"/>
        </w:rPr>
        <w:t>. Dans le Queensland, où les clans paraissent avoir disparu et où les classes matrimoniales sont les seules subdivisions de la phratrie, c'est entre</w:t>
      </w:r>
      <w:r w:rsidRPr="009A6BD2">
        <w:rPr>
          <w:rFonts w:ascii="Times New Roman" w:hAnsi="Times New Roman" w:cs="Times"/>
        </w:rPr>
        <w:t xml:space="preserve"> les classes que sont réparties les choses. Ainsi, les Wakelbura sont divisés en deux phratries, Mallera et Wutaru; les classes de la première sont appelées Kurgilla et Banbe, les classes de la seconde Wungo et Obu. Or, aux Banbe appartiennent l'opossum, l</w:t>
      </w:r>
      <w:r w:rsidRPr="009A6BD2">
        <w:rPr>
          <w:rFonts w:ascii="Times New Roman" w:hAnsi="Times New Roman" w:cs="Times"/>
        </w:rPr>
        <w:t>e kangourou, le chien, le miel de la petite abeille, etc. Aux Wungo sont attribués l'émou, le bandicoot, le canard noir, le serpent noir, le serpent brun; aux Obu, le serpent tapis, le miel des abeilles piquantes, etc. ; aux Kurgilla, le porc-épic, le dind</w:t>
      </w:r>
      <w:r w:rsidRPr="009A6BD2">
        <w:rPr>
          <w:rFonts w:ascii="Times New Roman" w:hAnsi="Times New Roman" w:cs="Times"/>
        </w:rPr>
        <w:t>on des plaines, l'eau, la pluie, le feu, le tonnerre, etc. </w:t>
      </w:r>
      <w:r w:rsidRPr="009A6BD2">
        <w:rPr>
          <w:rStyle w:val="Rimandonotaapidipagina"/>
          <w:rFonts w:ascii="Times" w:hAnsi="Times New Roman" w:cs="Times"/>
        </w:rPr>
        <w:footnoteReference w:id="226"/>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On rencontre la même organisation chez les Indiens de l'Amérique du Nord. Les Zuñi ont un système de classification qui, dans ses lignes essentielles, est de tous points comparable à ceux que no</w:t>
      </w:r>
      <w:r w:rsidRPr="009A6BD2">
        <w:rPr>
          <w:rFonts w:ascii="Times New Roman" w:hAnsi="Times New Roman" w:cs="Times"/>
        </w:rPr>
        <w:t>us venons de décrire. Celui des Omaha repose sur les mêmes principes que celui des Wotjobaltik </w:t>
      </w:r>
      <w:r w:rsidRPr="009A6BD2">
        <w:rPr>
          <w:rStyle w:val="Rimandonotaapidipagina"/>
          <w:rFonts w:ascii="Times" w:hAnsi="Times New Roman" w:cs="Times"/>
        </w:rPr>
        <w:footnoteReference w:id="227"/>
      </w:r>
      <w:r w:rsidRPr="009A6BD2">
        <w:rPr>
          <w:rFonts w:ascii="Times New Roman" w:hAnsi="Times New Roman" w:cs="Times"/>
        </w:rPr>
        <w:t>. Un écho de ces mêmes idées persiste jusque dans les sociétés les plus avancées. Chez les Haida, tous les dieux, tous les êtres mythiques qui sont préposés aux</w:t>
      </w:r>
      <w:r w:rsidRPr="009A6BD2">
        <w:rPr>
          <w:rFonts w:ascii="Times New Roman" w:hAnsi="Times New Roman" w:cs="Times"/>
        </w:rPr>
        <w:t xml:space="preserve"> différents phénomènes de la nature sont eux-mêmes classés, tout comme les hommes, dans l'une ou l'autre des deux phratries que comprend la tribu ; les uns sont des Aigles, les autres des Corbeaux </w:t>
      </w:r>
      <w:r w:rsidRPr="009A6BD2">
        <w:rPr>
          <w:rStyle w:val="Rimandonotaapidipagina"/>
          <w:rFonts w:ascii="Times" w:hAnsi="Times New Roman" w:cs="Times"/>
        </w:rPr>
        <w:footnoteReference w:id="228"/>
      </w:r>
      <w:r w:rsidRPr="009A6BD2">
        <w:rPr>
          <w:rFonts w:ascii="Times New Roman" w:hAnsi="Times New Roman" w:cs="Times"/>
        </w:rPr>
        <w:t>. Or les dieux des choses ne sont qu'un autre aspect des c</w:t>
      </w:r>
      <w:r w:rsidRPr="009A6BD2">
        <w:rPr>
          <w:rFonts w:ascii="Times New Roman" w:hAnsi="Times New Roman" w:cs="Times"/>
        </w:rPr>
        <w:t>hoses mêmes qu'ils gouvernent </w:t>
      </w:r>
      <w:r w:rsidRPr="009A6BD2">
        <w:rPr>
          <w:rStyle w:val="Rimandonotaapidipagina"/>
          <w:rFonts w:ascii="Times" w:hAnsi="Times New Roman" w:cs="Times"/>
        </w:rPr>
        <w:footnoteReference w:id="229"/>
      </w:r>
      <w:r w:rsidRPr="009A6BD2">
        <w:rPr>
          <w:rFonts w:ascii="Times New Roman" w:hAnsi="Times New Roman" w:cs="Times"/>
        </w:rPr>
        <w:t>. Cette classification mythologique n'est donc qu'une autre forme des précé</w:t>
      </w:r>
      <w:r w:rsidRPr="009A6BD2">
        <w:rPr>
          <w:rFonts w:ascii="Times" w:hAnsi="Times New Roman" w:cs="Times"/>
        </w:rPr>
        <w:softHyphen/>
      </w:r>
      <w:r w:rsidRPr="009A6BD2">
        <w:rPr>
          <w:rFonts w:ascii="Times New Roman" w:hAnsi="Times New Roman" w:cs="Times"/>
        </w:rPr>
        <w:t>dentes. Nous sommes ainsi assurés que cette façon de concevoir le monde est indépendante de toute particularité ethnique ou géographique; mais en mêm</w:t>
      </w:r>
      <w:r w:rsidRPr="009A6BD2">
        <w:rPr>
          <w:rFonts w:ascii="Times New Roman" w:hAnsi="Times New Roman" w:cs="Times"/>
        </w:rPr>
        <w:t>e temps, il apparaît avec évidence qu'elle tient étroitement à l'ensemble des croyances totémiques.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17" w:name="livre_2_chap_3_2"/>
      <w:r w:rsidRPr="009A6BD2">
        <w:rPr>
          <w:rFonts w:ascii="Times New Roman" w:hAnsi="Times New Roman"/>
        </w:rPr>
        <w:t>II</w:t>
      </w:r>
    </w:p>
    <w:bookmarkEnd w:id="17"/>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Dans le travail auquel nous avons déjà fait plusieurs fois allusion, nous avons montré quelle lumière ces fai</w:t>
      </w:r>
      <w:r w:rsidRPr="009A6BD2">
        <w:rPr>
          <w:rFonts w:ascii="Times New Roman" w:hAnsi="Times New Roman" w:cs="Times"/>
        </w:rPr>
        <w:t>ts jettent sur la façon dont s'est formée, dans l'humanité, la notion de genre ou de classe. En effet, ces classifications systématiques sont les premières que nous rencontrions dans l'histoire ; or, on vient de voir qu'elles se sont modelées sur l'organis</w:t>
      </w:r>
      <w:r w:rsidRPr="009A6BD2">
        <w:rPr>
          <w:rFonts w:ascii="Times New Roman" w:hAnsi="Times New Roman" w:cs="Times"/>
        </w:rPr>
        <w:t>ation sociale, ou plutôt qu'elles ont pris pour cadres les cadres mêmes de la société. Ce sont les phratries qui ont servi de genres, et les clans d'espèces. C'est parce que les hommes étaient groupés qu'ils ont pu grouper les choses ; car pour classer ces</w:t>
      </w:r>
      <w:r w:rsidRPr="009A6BD2">
        <w:rPr>
          <w:rFonts w:ascii="Times New Roman" w:hAnsi="Times New Roman" w:cs="Times"/>
        </w:rPr>
        <w:t xml:space="preserve"> dernières, ils se sont bornés à leur faire place dans les groupes qu'ils formaient eux-mêmes. Et si ces diverses classes de choses n'ont pas été simplement juxtaposées les unes aux autres, mais ordonnées suivant un plan unitaire, c'est que les groupes soc</w:t>
      </w:r>
      <w:r w:rsidRPr="009A6BD2">
        <w:rPr>
          <w:rFonts w:ascii="Times New Roman" w:hAnsi="Times New Roman" w:cs="Times"/>
        </w:rPr>
        <w:t xml:space="preserve">iaux avec lesquels elles se confondent sont eux-mêmes solidaires et forment par leur union un tout organique, la tribu. L'unité de ces premiers systèmes logiques ne fait que reproduire l'unité de la société. Une première occasion nous est ainsi offerte de </w:t>
      </w:r>
      <w:r w:rsidRPr="009A6BD2">
        <w:rPr>
          <w:rFonts w:ascii="Times New Roman" w:hAnsi="Times New Roman" w:cs="Times"/>
        </w:rPr>
        <w:t>vérifier la proposition que nous énoncions au début de cet ouvrage et de nous assurer que les notions fondamentales de l'esprit, les catégories essentielles de la pensée peuvent être le produit de facteurs sociaux. Ce qui précède démontre, en effet, que c'</w:t>
      </w:r>
      <w:r w:rsidRPr="009A6BD2">
        <w:rPr>
          <w:rFonts w:ascii="Times New Roman" w:hAnsi="Times New Roman" w:cs="Times"/>
        </w:rPr>
        <w:t>est le cas de la notion même de catégorie.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n'est pas, toutefois, que nous entendions refuser à la conscience individuelle, même réduite à ses seules forces, le pouvoir d'apercevoir des ressemblances entre les choses particulières qu'elle se représente.</w:t>
      </w:r>
      <w:r w:rsidRPr="009A6BD2">
        <w:rPr>
          <w:rFonts w:ascii="Times New Roman" w:hAnsi="Times New Roman" w:cs="Times"/>
        </w:rPr>
        <w:t xml:space="preserve"> Il est clair, au contraire, que les classifications, même les plus primitives et les plus simples, supposent déjà cette faculté. Ce n'est pas au hasard que l'Australien range les choses dans un même clan ou dans des clans différents. En lui, comme en nous</w:t>
      </w:r>
      <w:r w:rsidRPr="009A6BD2">
        <w:rPr>
          <w:rFonts w:ascii="Times New Roman" w:hAnsi="Times New Roman" w:cs="Times"/>
        </w:rPr>
        <w:t>, les images similaires s'attirent, les images opposées se repoussent et c'est suivant le sentiment de ces affinités et ces répulsions qu'il classe, ici ou là, les choses correspondantes.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d'ailleurs, des cas où nous entrevoyons les raisons qui Pon</w:t>
      </w:r>
      <w:r w:rsidRPr="009A6BD2">
        <w:rPr>
          <w:rFonts w:ascii="Times New Roman" w:hAnsi="Times New Roman" w:cs="Times"/>
        </w:rPr>
        <w:t>t inspiré. Les deux phratries ont très vraisemblablement constitué les cadres initiaux et fondamentaux de ces classifications qui, par conséquent, ont commencé par être dichotomiques. Or, quand une classification se réduit à deux genres, ceux-ci sont presq</w:t>
      </w:r>
      <w:r w:rsidRPr="009A6BD2">
        <w:rPr>
          <w:rFonts w:ascii="Times New Roman" w:hAnsi="Times New Roman" w:cs="Times"/>
        </w:rPr>
        <w:t>ue nécessairement conçus sous la forme antithétique : on s'en sert avant tout comme d'un moyen pour séparer nettement les choses entre lesquelles le contraste est le plus marqué. On met les unes à droite, les autres à gauche. Tel est, en effet, le caractèr</w:t>
      </w:r>
      <w:r w:rsidRPr="009A6BD2">
        <w:rPr>
          <w:rFonts w:ascii="Times New Roman" w:hAnsi="Times New Roman" w:cs="Times"/>
        </w:rPr>
        <w:t>e des classifications australiennes. Si le kakatoès blanc est classé dans une phratrie, le kakatoès noir est dans l'autre ; si le soleil est d'un côté, la lune et les astres de la nuit sont du côté opposé </w:t>
      </w:r>
      <w:r w:rsidRPr="009A6BD2">
        <w:rPr>
          <w:rStyle w:val="Rimandonotaapidipagina"/>
          <w:rFonts w:ascii="Times" w:hAnsi="Times New Roman" w:cs="Times"/>
        </w:rPr>
        <w:footnoteReference w:id="230"/>
      </w:r>
      <w:r w:rsidRPr="009A6BD2">
        <w:rPr>
          <w:rFonts w:ascii="Times New Roman" w:hAnsi="Times New Roman" w:cs="Times"/>
        </w:rPr>
        <w:t>. Très souvent, les êtres qui servent de totems au</w:t>
      </w:r>
      <w:r w:rsidRPr="009A6BD2">
        <w:rPr>
          <w:rFonts w:ascii="Times New Roman" w:hAnsi="Times New Roman" w:cs="Times"/>
        </w:rPr>
        <w:t>x deux phratries ont des couleurs contraires </w:t>
      </w:r>
      <w:r w:rsidRPr="009A6BD2">
        <w:rPr>
          <w:rStyle w:val="Rimandonotaapidipagina"/>
          <w:rFonts w:ascii="Times" w:hAnsi="Times New Roman" w:cs="Times"/>
        </w:rPr>
        <w:footnoteReference w:id="231"/>
      </w:r>
      <w:r w:rsidRPr="009A6BD2">
        <w:rPr>
          <w:rFonts w:ascii="Times New Roman" w:hAnsi="Times New Roman" w:cs="Times"/>
        </w:rPr>
        <w:t>. On retrouve de ces oppositions même en dehors de l'Australie. Là où l'une des phratries est préposée à la paix, l'autre est préposée à la guerre </w:t>
      </w:r>
      <w:r w:rsidRPr="009A6BD2">
        <w:rPr>
          <w:rStyle w:val="Rimandonotaapidipagina"/>
          <w:rFonts w:ascii="Times" w:hAnsi="Times New Roman" w:cs="Times"/>
        </w:rPr>
        <w:footnoteReference w:id="232"/>
      </w:r>
      <w:r w:rsidRPr="009A6BD2">
        <w:rPr>
          <w:rFonts w:ascii="Times New Roman" w:hAnsi="Times New Roman" w:cs="Times"/>
        </w:rPr>
        <w:t xml:space="preserve"> ; si l'une a l'eau pour totem, l'autre a pour totem la terre </w:t>
      </w:r>
      <w:r w:rsidRPr="009A6BD2">
        <w:rPr>
          <w:rStyle w:val="Rimandonotaapidipagina"/>
          <w:rFonts w:ascii="Times" w:hAnsi="Times New Roman" w:cs="Times"/>
        </w:rPr>
        <w:footnoteReference w:id="233"/>
      </w:r>
      <w:r w:rsidRPr="009A6BD2">
        <w:rPr>
          <w:rFonts w:ascii="Times New Roman" w:hAnsi="Times New Roman" w:cs="Times"/>
        </w:rPr>
        <w:t>. C'est là, sans doute, ce qui expli</w:t>
      </w:r>
      <w:r w:rsidRPr="009A6BD2">
        <w:rPr>
          <w:rFonts w:ascii="Times" w:hAnsi="Times New Roman" w:cs="Times"/>
        </w:rPr>
        <w:softHyphen/>
      </w:r>
      <w:r w:rsidRPr="009A6BD2">
        <w:rPr>
          <w:rFonts w:ascii="Times New Roman" w:hAnsi="Times New Roman" w:cs="Times"/>
        </w:rPr>
        <w:t>que que les deux phratries aient été souvent conçues comme naturellement antagonistes l'une de l'autre. On admet qu'il y a entre elles une sorte de rivalité et même d'hostilité cons</w:t>
      </w:r>
      <w:r w:rsidRPr="009A6BD2">
        <w:rPr>
          <w:rFonts w:ascii="Times" w:hAnsi="Times New Roman" w:cs="Times"/>
        </w:rPr>
        <w:softHyphen/>
      </w:r>
      <w:r w:rsidRPr="009A6BD2">
        <w:rPr>
          <w:rFonts w:ascii="Times New Roman" w:hAnsi="Times New Roman" w:cs="Times"/>
        </w:rPr>
        <w:t>ti</w:t>
      </w:r>
      <w:r w:rsidRPr="009A6BD2">
        <w:rPr>
          <w:rFonts w:ascii="Times" w:hAnsi="Times New Roman" w:cs="Times"/>
        </w:rPr>
        <w:softHyphen/>
      </w:r>
      <w:r w:rsidRPr="009A6BD2">
        <w:rPr>
          <w:rFonts w:ascii="Times New Roman" w:hAnsi="Times New Roman" w:cs="Times"/>
        </w:rPr>
        <w:t>tu</w:t>
      </w:r>
      <w:r w:rsidRPr="009A6BD2">
        <w:rPr>
          <w:rFonts w:ascii="Times" w:hAnsi="Times New Roman" w:cs="Times"/>
        </w:rPr>
        <w:softHyphen/>
      </w:r>
      <w:r w:rsidRPr="009A6BD2">
        <w:rPr>
          <w:rFonts w:ascii="Times" w:hAnsi="Times New Roman" w:cs="Times"/>
        </w:rPr>
        <w:softHyphen/>
      </w:r>
      <w:r w:rsidRPr="009A6BD2">
        <w:rPr>
          <w:rFonts w:ascii="Times New Roman" w:hAnsi="Times New Roman" w:cs="Times"/>
        </w:rPr>
        <w:t>tionnelle </w:t>
      </w:r>
      <w:r w:rsidRPr="009A6BD2">
        <w:rPr>
          <w:rStyle w:val="Rimandonotaapidipagina"/>
          <w:rFonts w:ascii="Times" w:hAnsi="Times New Roman" w:cs="Times"/>
        </w:rPr>
        <w:footnoteReference w:id="234"/>
      </w:r>
      <w:r w:rsidRPr="009A6BD2">
        <w:rPr>
          <w:rFonts w:ascii="Times New Roman" w:hAnsi="Times New Roman" w:cs="Times"/>
        </w:rPr>
        <w:t>. L'opposition des</w:t>
      </w:r>
      <w:r w:rsidRPr="009A6BD2">
        <w:rPr>
          <w:rFonts w:ascii="Times New Roman" w:hAnsi="Times New Roman" w:cs="Times"/>
        </w:rPr>
        <w:t xml:space="preserve"> choses s'est étendue aux personnes ; le contraste logique s'est doublé d'une sorte de conflit social </w:t>
      </w:r>
      <w:r w:rsidRPr="009A6BD2">
        <w:rPr>
          <w:rStyle w:val="Rimandonotaapidipagina"/>
          <w:rFonts w:ascii="Times" w:hAnsi="Times New Roman" w:cs="Times"/>
        </w:rPr>
        <w:footnoteReference w:id="23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D'un autre côté, à l'intérieur de chaque phratrie, on a rangé dans un même clan les choses qui semblaient avoir le plus d'affinité avec celle qui serv</w:t>
      </w:r>
      <w:r w:rsidRPr="009A6BD2">
        <w:rPr>
          <w:rFonts w:ascii="Times New Roman" w:hAnsi="Times New Roman" w:cs="Times"/>
        </w:rPr>
        <w:t>ait de totem. Par exemple, on a mis la lune avec le kakatoès noir, le soleil, au contraire, ainsi que l'atmosphère et le vent, avec le kakatoès blanc. Ou bien encore, on a réuni à l'animal totémique tout ce qui sert à l'alimen</w:t>
      </w:r>
      <w:r w:rsidRPr="009A6BD2">
        <w:rPr>
          <w:rFonts w:ascii="Times" w:hAnsi="Times New Roman" w:cs="Times"/>
        </w:rPr>
        <w:softHyphen/>
      </w:r>
      <w:r w:rsidRPr="009A6BD2">
        <w:rPr>
          <w:rFonts w:ascii="Times New Roman" w:hAnsi="Times New Roman" w:cs="Times"/>
        </w:rPr>
        <w:t>tation </w:t>
      </w:r>
      <w:r w:rsidRPr="009A6BD2">
        <w:rPr>
          <w:rStyle w:val="Rimandonotaapidipagina"/>
          <w:rFonts w:ascii="Times" w:hAnsi="Times New Roman" w:cs="Times"/>
        </w:rPr>
        <w:footnoteReference w:id="236"/>
      </w:r>
      <w:r w:rsidRPr="009A6BD2">
        <w:rPr>
          <w:rFonts w:ascii="Times New Roman" w:hAnsi="Times New Roman" w:cs="Times"/>
        </w:rPr>
        <w:t>, ainsi que les anima</w:t>
      </w:r>
      <w:r w:rsidRPr="009A6BD2">
        <w:rPr>
          <w:rFonts w:ascii="Times New Roman" w:hAnsi="Times New Roman" w:cs="Times"/>
        </w:rPr>
        <w:t>ux avec lesquels il est le plus étroitement en rapports </w:t>
      </w:r>
      <w:r w:rsidRPr="009A6BD2">
        <w:rPr>
          <w:rStyle w:val="Rimandonotaapidipagina"/>
          <w:rFonts w:ascii="Times" w:hAnsi="Times New Roman" w:cs="Times"/>
        </w:rPr>
        <w:footnoteReference w:id="237"/>
      </w:r>
      <w:r w:rsidRPr="009A6BD2">
        <w:rPr>
          <w:rFonts w:ascii="Times New Roman" w:hAnsi="Times New Roman" w:cs="Times"/>
        </w:rPr>
        <w:t xml:space="preserve">. Sans doute, nous ne pouvons pas toujours comprendre l'obscure psychologie qui a présidé à beaucoup de ces rapprochements ou de ces distinctions. Mais les exemples qui précèdent suffisent à montrer </w:t>
      </w:r>
      <w:r w:rsidRPr="009A6BD2">
        <w:rPr>
          <w:rFonts w:ascii="Times New Roman" w:hAnsi="Times New Roman" w:cs="Times"/>
        </w:rPr>
        <w:t>qu'une certaine intuition des ressemblances ou des différences que présen</w:t>
      </w:r>
      <w:r w:rsidRPr="009A6BD2">
        <w:rPr>
          <w:rFonts w:ascii="Times" w:hAnsi="Times New Roman" w:cs="Times"/>
        </w:rPr>
        <w:softHyphen/>
      </w:r>
      <w:r w:rsidRPr="009A6BD2">
        <w:rPr>
          <w:rFonts w:ascii="Times New Roman" w:hAnsi="Times New Roman" w:cs="Times"/>
        </w:rPr>
        <w:t>tent les choses a joué un rôle dans la genèse de ces classifications.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autre chose est le sentiment des ressemblances, autre chose la notion de genre. Le genre, c'est le cadre e</w:t>
      </w:r>
      <w:r w:rsidRPr="009A6BD2">
        <w:rPr>
          <w:rFonts w:ascii="Times New Roman" w:hAnsi="Times New Roman" w:cs="Times"/>
        </w:rPr>
        <w:t xml:space="preserve">xtérieur dont des objets perçus comme semblables forment, en partie, le contenu. Or le contenu ne peut pas,  fournir lui-même le cadre dans lequel il se dispose. Il est fait d'images </w:t>
      </w:r>
      <w:r w:rsidRPr="009A6BD2">
        <w:rPr>
          <w:rFonts w:ascii="Times New Roman" w:hAnsi="Times New Roman" w:cs="Times"/>
          <w:i/>
          <w:iCs/>
        </w:rPr>
        <w:t xml:space="preserve">vagues et flottantes, </w:t>
      </w:r>
      <w:r w:rsidRPr="009A6BD2">
        <w:rPr>
          <w:rFonts w:ascii="Times New Roman" w:hAnsi="Times New Roman" w:cs="Times"/>
        </w:rPr>
        <w:t>dues à la superposition et à la fusion partielle d'</w:t>
      </w:r>
      <w:r w:rsidRPr="009A6BD2">
        <w:rPr>
          <w:rFonts w:ascii="Times New Roman" w:hAnsi="Times New Roman" w:cs="Times"/>
        </w:rPr>
        <w:t xml:space="preserve">un </w:t>
      </w:r>
      <w:r w:rsidRPr="009A6BD2">
        <w:rPr>
          <w:rFonts w:ascii="Times New Roman" w:hAnsi="Times New Roman" w:cs="Times"/>
          <w:i/>
          <w:iCs/>
        </w:rPr>
        <w:t xml:space="preserve">nombre déterminé d'images individuelles, </w:t>
      </w:r>
      <w:r w:rsidRPr="009A6BD2">
        <w:rPr>
          <w:rFonts w:ascii="Times New Roman" w:hAnsi="Times New Roman" w:cs="Times"/>
        </w:rPr>
        <w:t xml:space="preserve">qui se trouvent avoir des éléments communs ; le cadre au contraire, est une </w:t>
      </w:r>
      <w:r w:rsidRPr="009A6BD2">
        <w:rPr>
          <w:rFonts w:ascii="Times New Roman" w:hAnsi="Times New Roman" w:cs="Times"/>
          <w:i/>
          <w:iCs/>
        </w:rPr>
        <w:t xml:space="preserve">forme définie, </w:t>
      </w:r>
      <w:r w:rsidRPr="009A6BD2">
        <w:rPr>
          <w:rFonts w:ascii="Times New Roman" w:hAnsi="Times New Roman" w:cs="Times"/>
        </w:rPr>
        <w:t xml:space="preserve">aux contours arrêtés, mais qui est susceptible de s'appliquer à un </w:t>
      </w:r>
      <w:r w:rsidRPr="009A6BD2">
        <w:rPr>
          <w:rFonts w:ascii="Times New Roman" w:hAnsi="Times New Roman" w:cs="Times"/>
          <w:i/>
          <w:iCs/>
        </w:rPr>
        <w:t xml:space="preserve">nombre déterminé de choses, </w:t>
      </w:r>
      <w:r w:rsidRPr="009A6BD2">
        <w:rPr>
          <w:rFonts w:ascii="Times New Roman" w:hAnsi="Times New Roman" w:cs="Times"/>
        </w:rPr>
        <w:t xml:space="preserve">perçues ou non, actuelles </w:t>
      </w:r>
      <w:r w:rsidRPr="009A6BD2">
        <w:rPr>
          <w:rFonts w:ascii="Times New Roman" w:hAnsi="Times New Roman" w:cs="Times"/>
        </w:rPr>
        <w:t>ou possibles. Tout genre, en effet, a un champ d'extension qui dépasse infiniment le cercle des objets dont nous avons éprouvé, par expérience directe, la ressemblance. Voilà pourquoi toute une école de penseurs se refu</w:t>
      </w:r>
      <w:r w:rsidRPr="009A6BD2">
        <w:rPr>
          <w:rFonts w:ascii="Times" w:hAnsi="Times New Roman" w:cs="Times"/>
        </w:rPr>
        <w:softHyphen/>
      </w:r>
      <w:r w:rsidRPr="009A6BD2">
        <w:rPr>
          <w:rFonts w:ascii="Times New Roman" w:hAnsi="Times New Roman" w:cs="Times"/>
        </w:rPr>
        <w:t>se, non sans raison, à identifier l'</w:t>
      </w:r>
      <w:r w:rsidRPr="009A6BD2">
        <w:rPr>
          <w:rFonts w:ascii="Times New Roman" w:hAnsi="Times New Roman" w:cs="Times"/>
        </w:rPr>
        <w:t>idée de genre et celle d'image générique. L'image géné</w:t>
      </w:r>
      <w:r w:rsidRPr="009A6BD2">
        <w:rPr>
          <w:rFonts w:ascii="Times" w:hAnsi="Times New Roman" w:cs="Times"/>
        </w:rPr>
        <w:softHyphen/>
      </w:r>
      <w:r w:rsidRPr="009A6BD2">
        <w:rPr>
          <w:rFonts w:ascii="Times New Roman" w:hAnsi="Times New Roman" w:cs="Times"/>
        </w:rPr>
        <w:t>rique, ce n'est que la représentation résiduelle, aux frontières indécises, que laissent en nous des représentations semblables, quand elles sont simultanément présentes dans la conscience; le genre, c</w:t>
      </w:r>
      <w:r w:rsidRPr="009A6BD2">
        <w:rPr>
          <w:rFonts w:ascii="Times New Roman" w:hAnsi="Times New Roman" w:cs="Times"/>
        </w:rPr>
        <w:t>'est un symbole logique grâce auquel nous pensons distinctement ces similitudes et d'autres analogues. Au reste, la meilleure preuve de l'écart qui sépare ces deux notions, c'est que l'animal est capable de former des images génériques, tandis qu'il ignore</w:t>
      </w:r>
      <w:r w:rsidRPr="009A6BD2">
        <w:rPr>
          <w:rFonts w:ascii="Times New Roman" w:hAnsi="Times New Roman" w:cs="Times"/>
        </w:rPr>
        <w:t xml:space="preserve"> l'art de penser par genres et par espèces.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L'idée de genre est un instrument de la pensée qui a été manifestement construit par les hommes. Mais pour le construire, il nous a, tout au moins, fallu un modèle ; car comment cette idée aurait-elle pu naître </w:t>
      </w:r>
      <w:r w:rsidRPr="009A6BD2">
        <w:rPr>
          <w:rFonts w:ascii="Times New Roman" w:hAnsi="Times New Roman" w:cs="Times"/>
        </w:rPr>
        <w:t xml:space="preserve">s'il n'y avait rien eu ni en nous ni en dehors de nous qui fût de nature à nous la suggérer ? Répondre qu'elle nous est donnée </w:t>
      </w:r>
      <w:r w:rsidRPr="009A6BD2">
        <w:rPr>
          <w:rFonts w:ascii="Times New Roman" w:hAnsi="Times New Roman" w:cs="Times"/>
          <w:i/>
          <w:iCs/>
        </w:rPr>
        <w:t>a</w:t>
      </w:r>
      <w:r w:rsidRPr="009A6BD2">
        <w:rPr>
          <w:rFonts w:ascii="Times New Roman" w:hAnsi="Times New Roman" w:cs="Times"/>
        </w:rPr>
        <w:t xml:space="preserve"> </w:t>
      </w:r>
      <w:r w:rsidRPr="009A6BD2">
        <w:rPr>
          <w:rFonts w:ascii="Times New Roman" w:hAnsi="Times New Roman" w:cs="Times"/>
          <w:i/>
          <w:iCs/>
        </w:rPr>
        <w:t xml:space="preserve">priori, </w:t>
      </w:r>
      <w:r w:rsidRPr="009A6BD2">
        <w:rPr>
          <w:rFonts w:ascii="Times New Roman" w:hAnsi="Times New Roman" w:cs="Times"/>
        </w:rPr>
        <w:t>ce n'est pas répondre ; cette solution paresseuse est, comme on a dit, la mort de l'analyse. Or, on ne voit pas où nous</w:t>
      </w:r>
      <w:r w:rsidRPr="009A6BD2">
        <w:rPr>
          <w:rFonts w:ascii="Times New Roman" w:hAnsi="Times New Roman" w:cs="Times"/>
        </w:rPr>
        <w:t xml:space="preserve"> aurions pu trouver ce modèle indispensable, sinon dans le spectacle de la vie collective. Un genre en effet, c'est un groupement idéal, mais nettement défini, de choses entre lesquelles il existe des liens internes, analogues à des liens de parenté. Or le</w:t>
      </w:r>
      <w:r w:rsidRPr="009A6BD2">
        <w:rPr>
          <w:rFonts w:ascii="Times New Roman" w:hAnsi="Times New Roman" w:cs="Times"/>
        </w:rPr>
        <w:t xml:space="preserve">s seuls groupements de cette sorte que nous fasse connaître l'expérience, sont ceux que forment les hommes en s'associant. Les choses matérielles peuvent former des touts de collection, des amas, des assemblages mécaniques sans unité interne, mais non des </w:t>
      </w:r>
      <w:r w:rsidRPr="009A6BD2">
        <w:rPr>
          <w:rFonts w:ascii="Times New Roman" w:hAnsi="Times New Roman" w:cs="Times"/>
        </w:rPr>
        <w:t>groupes au sens que nous venons de donner au mot. Un monceau de sable, un tas de pierres n'a rien de comparable à cette espèce de société définie et organisée qu'est un genre. Suivant toute vraisemblance, nous n'aurions donc jamais pensé à réunir les êtres</w:t>
      </w:r>
      <w:r w:rsidRPr="009A6BD2">
        <w:rPr>
          <w:rFonts w:ascii="Times New Roman" w:hAnsi="Times New Roman" w:cs="Times"/>
        </w:rPr>
        <w:t xml:space="preserve"> de l'univers en groupes homogènes, appelés genres, si nous n'avions eu sous les yeux l'exemple des sociétés humaines, si même nous n'avions commencé par faire des choses elles-mêmes des membres de la société des hommes, si bien que groupements humains et </w:t>
      </w:r>
      <w:r w:rsidRPr="009A6BD2">
        <w:rPr>
          <w:rFonts w:ascii="Times New Roman" w:hAnsi="Times New Roman" w:cs="Times"/>
        </w:rPr>
        <w:t>groupements logiques ont d'abord été confondus </w:t>
      </w:r>
      <w:r w:rsidRPr="009A6BD2">
        <w:rPr>
          <w:rStyle w:val="Rimandonotaapidipagina"/>
          <w:rFonts w:ascii="Times" w:hAnsi="Times New Roman" w:cs="Times"/>
        </w:rPr>
        <w:footnoteReference w:id="23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D'un autre côté, une classification est un système dont les parties sont disposées suivant un ordre hiérarchique. Il y a des caractères dominateurs et d'autres qui sont subordonnés aux premiers ; les espèc</w:t>
      </w:r>
      <w:r w:rsidRPr="009A6BD2">
        <w:rPr>
          <w:rFonts w:ascii="Times New Roman" w:hAnsi="Times New Roman" w:cs="Times"/>
        </w:rPr>
        <w:t>es et leurs propriétés distinctives dépendent des genres et des attributs qui les définissent; ou bien encore, les différentes espèces d'un même genre sont conçues comme situées au même niveau les unes que les autres. Se place-t-on de préférence au point d</w:t>
      </w:r>
      <w:r w:rsidRPr="009A6BD2">
        <w:rPr>
          <w:rFonts w:ascii="Times New Roman" w:hAnsi="Times New Roman" w:cs="Times"/>
        </w:rPr>
        <w:t>e vue de la compréhension ? On se représente alors les choses suivant un ordre inverse : on met tout en haut les espèces les plus particulières et les plus riches en réalité, en bas, les types les plus généraux et les plus pauvres en qualités. Mais on ne l</w:t>
      </w:r>
      <w:r w:rsidRPr="009A6BD2">
        <w:rPr>
          <w:rFonts w:ascii="Times New Roman" w:hAnsi="Times New Roman" w:cs="Times"/>
        </w:rPr>
        <w:t>aisse pas de se les représenter sous une forme hiérarchique. Et il faut se garder de croire que l'expression n'ait ici qu'un sens méta</w:t>
      </w:r>
      <w:r w:rsidRPr="009A6BD2">
        <w:rPr>
          <w:rFonts w:ascii="Times" w:hAnsi="Times New Roman" w:cs="Times"/>
        </w:rPr>
        <w:softHyphen/>
      </w:r>
      <w:r w:rsidRPr="009A6BD2">
        <w:rPr>
          <w:rFonts w:ascii="Times" w:hAnsi="Times New Roman" w:cs="Times"/>
        </w:rPr>
        <w:softHyphen/>
      </w:r>
      <w:r w:rsidRPr="009A6BD2">
        <w:rPr>
          <w:rFonts w:ascii="Times" w:hAnsi="Times New Roman" w:cs="Times"/>
        </w:rPr>
        <w:softHyphen/>
      </w:r>
      <w:r w:rsidRPr="009A6BD2">
        <w:rPr>
          <w:rFonts w:ascii="Times New Roman" w:hAnsi="Times New Roman" w:cs="Times"/>
        </w:rPr>
        <w:t>pho</w:t>
      </w:r>
      <w:r w:rsidRPr="009A6BD2">
        <w:rPr>
          <w:rFonts w:ascii="Times" w:hAnsi="Times New Roman" w:cs="Times"/>
        </w:rPr>
        <w:softHyphen/>
      </w:r>
      <w:r w:rsidRPr="009A6BD2">
        <w:rPr>
          <w:rFonts w:ascii="Times New Roman" w:hAnsi="Times New Roman" w:cs="Times"/>
        </w:rPr>
        <w:t>rique : ce sont bien réellement des rapports de subordination et de coordination qu'une classification a pour objet</w:t>
      </w:r>
      <w:r w:rsidRPr="009A6BD2">
        <w:rPr>
          <w:rFonts w:ascii="Times New Roman" w:hAnsi="Times New Roman" w:cs="Times"/>
        </w:rPr>
        <w:t xml:space="preserve"> d'établir et l'homme n'aurait même pas pensé à ordonner ses con</w:t>
      </w:r>
      <w:r w:rsidRPr="009A6BD2">
        <w:rPr>
          <w:rFonts w:ascii="Times" w:hAnsi="Times New Roman" w:cs="Times"/>
        </w:rPr>
        <w:softHyphen/>
      </w:r>
      <w:r w:rsidRPr="009A6BD2">
        <w:rPr>
          <w:rFonts w:ascii="Times New Roman" w:hAnsi="Times New Roman" w:cs="Times"/>
        </w:rPr>
        <w:t>naissances de cette manière, s'il n'avait su, au préalable, ce que c'est qu'une hiérarchie. Or, ni le spectacle de la nature physique, ni le mécanisme des associations mentales ne sauraient n</w:t>
      </w:r>
      <w:r w:rsidRPr="009A6BD2">
        <w:rPr>
          <w:rFonts w:ascii="Times New Roman" w:hAnsi="Times New Roman" w:cs="Times"/>
        </w:rPr>
        <w:t>ous en fournir l'idée. La hiérarchie est exclusivement une chose sociale. C'est seulement dans la société qu'il existe des supérieurs, des inférieurs, des égaux. Par conséquent, alors même que les faits ne seraient pas à 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point démonstratifs, la seule a</w:t>
      </w:r>
      <w:r w:rsidRPr="009A6BD2">
        <w:rPr>
          <w:rFonts w:ascii="Times New Roman" w:hAnsi="Times New Roman" w:cs="Times"/>
        </w:rPr>
        <w:t>nalyse de ces notions suffirait à révéler leur origine. C'est à la société que nous les avons empruntées pour les projeter ensuite dans notre représentation du monde. C'est la société qui a fourni le canevas sur lequel a travaillé la pensée logique.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18" w:name="livre_2_chap_3_3"/>
      <w:r w:rsidRPr="009A6BD2">
        <w:rPr>
          <w:rFonts w:ascii="Times New Roman" w:hAnsi="Times New Roman"/>
        </w:rPr>
        <w:t>III</w:t>
      </w:r>
    </w:p>
    <w:bookmarkEnd w:id="18"/>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Mais ces classifications primitives intéressent, non moins directement, la genèse de la pensée religieuse.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Elles impliquent, en effet, que toutes les choses ainsi classées dans un même clan ou dans une même phrat</w:t>
      </w:r>
      <w:r w:rsidRPr="009A6BD2">
        <w:rPr>
          <w:rFonts w:ascii="Times New Roman" w:hAnsi="Times New Roman" w:cs="Times"/>
        </w:rPr>
        <w:t>rie sont étroitement parentes et les unes des autres et de celle qui sert de totem à cette phratrie ou à ce clan. Quand l'Australien de la tribu de Port-Mackay dit du soleil, des serpents, etc., qu'ils sont de la phratrie Yungaroo, il n'entend pas simpleme</w:t>
      </w:r>
      <w:r w:rsidRPr="009A6BD2">
        <w:rPr>
          <w:rFonts w:ascii="Times New Roman" w:hAnsi="Times New Roman" w:cs="Times"/>
        </w:rPr>
        <w:t>nt appliquer à tous ces êtres disparates une étiquette commune, mais purement conventionnelle ; le mot a pour lui une signification objective. Il croit que, réellement, « les alligators sont Yungaroo, et que les kangourous sont Wootaroo. Le soleil est Yung</w:t>
      </w:r>
      <w:r w:rsidRPr="009A6BD2">
        <w:rPr>
          <w:rFonts w:ascii="Times New Roman" w:hAnsi="Times New Roman" w:cs="Times"/>
        </w:rPr>
        <w:t>aroo, la lune Wootaroo et ainsi de suite pour les constellations, les arbres, les plantes, etc. » </w:t>
      </w:r>
      <w:r w:rsidRPr="009A6BD2">
        <w:rPr>
          <w:rStyle w:val="Rimandonotaapidipagina"/>
          <w:rFonts w:ascii="Times" w:hAnsi="Times New Roman" w:cs="Times"/>
        </w:rPr>
        <w:footnoteReference w:id="239"/>
      </w:r>
      <w:r w:rsidRPr="009A6BD2">
        <w:rPr>
          <w:rFonts w:ascii="Times New Roman" w:hAnsi="Times New Roman" w:cs="Times"/>
        </w:rPr>
        <w:t>. Un lien interne les atta</w:t>
      </w:r>
      <w:r w:rsidRPr="009A6BD2">
        <w:rPr>
          <w:rFonts w:ascii="Times" w:hAnsi="Times New Roman" w:cs="Times"/>
        </w:rPr>
        <w:softHyphen/>
      </w:r>
      <w:r w:rsidRPr="009A6BD2">
        <w:rPr>
          <w:rFonts w:ascii="Times New Roman" w:hAnsi="Times New Roman" w:cs="Times"/>
        </w:rPr>
        <w:t>che au groupe dans lequel ils sont rangés ; ils en sont membres réguliers. On dit qu'ils appartiennent à ce groupe </w:t>
      </w:r>
      <w:r w:rsidRPr="009A6BD2">
        <w:rPr>
          <w:rStyle w:val="Rimandonotaapidipagina"/>
          <w:rFonts w:ascii="Times" w:hAnsi="Times New Roman" w:cs="Times"/>
        </w:rPr>
        <w:footnoteReference w:id="240"/>
      </w:r>
      <w:r w:rsidRPr="009A6BD2">
        <w:rPr>
          <w:rFonts w:ascii="Times New Roman" w:hAnsi="Times New Roman" w:cs="Times"/>
        </w:rPr>
        <w:t>, tout comme l</w:t>
      </w:r>
      <w:r w:rsidRPr="009A6BD2">
        <w:rPr>
          <w:rFonts w:ascii="Times New Roman" w:hAnsi="Times New Roman" w:cs="Times"/>
        </w:rPr>
        <w:t>es individus humains qui en font partie ; par suite, une relation du même genre les unit à ces derniers. L'homme voit dans les choses de son clan des parents ou des associés ; il les appelle des amis, il les considère comme faits de la même chair que lui </w:t>
      </w:r>
      <w:r w:rsidRPr="009A6BD2">
        <w:rPr>
          <w:rStyle w:val="Rimandonotaapidipagina"/>
          <w:rFonts w:ascii="Times" w:hAnsi="Times New Roman" w:cs="Times"/>
        </w:rPr>
        <w:footnoteReference w:id="241"/>
      </w:r>
      <w:r w:rsidRPr="009A6BD2">
        <w:rPr>
          <w:rFonts w:ascii="Times New Roman" w:hAnsi="Times New Roman" w:cs="Times"/>
        </w:rPr>
        <w:t>. Aussi y a-t-il entre elles et lui des affinités électives et des rapports de conve</w:t>
      </w:r>
      <w:r w:rsidRPr="009A6BD2">
        <w:rPr>
          <w:rFonts w:ascii="Times" w:hAnsi="Times New Roman" w:cs="Times"/>
        </w:rPr>
        <w:softHyphen/>
      </w:r>
      <w:r w:rsidRPr="009A6BD2">
        <w:rPr>
          <w:rFonts w:ascii="Times New Roman" w:hAnsi="Times New Roman" w:cs="Times"/>
        </w:rPr>
        <w:t>nance tout particuliers. Choses et gens s'appellent, en quelque sorte, s'entendent, s'harmoni</w:t>
      </w:r>
      <w:r w:rsidRPr="009A6BD2">
        <w:rPr>
          <w:rFonts w:ascii="Times" w:hAnsi="Times New Roman" w:cs="Times"/>
        </w:rPr>
        <w:softHyphen/>
      </w:r>
      <w:r w:rsidRPr="009A6BD2">
        <w:rPr>
          <w:rFonts w:ascii="Times New Roman" w:hAnsi="Times New Roman" w:cs="Times"/>
        </w:rPr>
        <w:t>sent naturellement. Par exemple, quand on enterre un Wakelbura de la phratrie</w:t>
      </w:r>
      <w:r w:rsidRPr="009A6BD2">
        <w:rPr>
          <w:rFonts w:ascii="Times New Roman" w:hAnsi="Times New Roman" w:cs="Times"/>
        </w:rPr>
        <w:t xml:space="preserve"> Mallera, l'échafaud sur lequel le corps est exposé « doit être fait du bois de quelque arbre appartenant à la phratrie Mallera </w:t>
      </w:r>
      <w:r w:rsidRPr="009A6BD2">
        <w:rPr>
          <w:rStyle w:val="Rimandonotaapidipagina"/>
          <w:rFonts w:ascii="Times" w:hAnsi="Times New Roman" w:cs="Times"/>
        </w:rPr>
        <w:footnoteReference w:id="242"/>
      </w:r>
      <w:r w:rsidRPr="009A6BD2">
        <w:rPr>
          <w:rFonts w:ascii="Times New Roman" w:hAnsi="Times New Roman" w:cs="Times"/>
        </w:rPr>
        <w:t xml:space="preserve"> ». Il en est de même des branchages qui recouvrent le cadavre. Si le défunt est de la classe Banbe, on devra employer un arbre</w:t>
      </w:r>
      <w:r w:rsidRPr="009A6BD2">
        <w:rPr>
          <w:rFonts w:ascii="Times New Roman" w:hAnsi="Times New Roman" w:cs="Times"/>
        </w:rPr>
        <w:t xml:space="preserve"> Banbe. Dans la même tribu, un magicien ne peut se servir pour son art que de choses qui ressortissent à sa phratrie </w:t>
      </w:r>
      <w:r w:rsidRPr="009A6BD2">
        <w:rPr>
          <w:rStyle w:val="Rimandonotaapidipagina"/>
          <w:rFonts w:ascii="Times" w:hAnsi="Times New Roman" w:cs="Times"/>
        </w:rPr>
        <w:footnoteReference w:id="243"/>
      </w:r>
      <w:r w:rsidRPr="009A6BD2">
        <w:rPr>
          <w:rFonts w:ascii="Times New Roman" w:hAnsi="Times New Roman" w:cs="Times"/>
        </w:rPr>
        <w:t xml:space="preserve"> ; parce que les autres lui sont étrangères, il ne saurait s'en faire obéir. Un lien de sympathie mystique unit ainsi chaque individu aux </w:t>
      </w:r>
      <w:r w:rsidRPr="009A6BD2">
        <w:rPr>
          <w:rFonts w:ascii="Times New Roman" w:hAnsi="Times New Roman" w:cs="Times"/>
        </w:rPr>
        <w:t>êtres vivants ou non, qui lui sont associés ; il en résulte qu'on croit pouvoir induire ce qu'il fera ou ce qu'il a fait d'après ce qu'ils font. Chez ces mêmes Walkelbura, quand un individu rêve qu'il a tué un animal appartenant à telle division sociale, i</w:t>
      </w:r>
      <w:r w:rsidRPr="009A6BD2">
        <w:rPr>
          <w:rFonts w:ascii="Times New Roman" w:hAnsi="Times New Roman" w:cs="Times"/>
        </w:rPr>
        <w:t>l s'attend à rencontrer le lendemain un homme de la même division </w:t>
      </w:r>
      <w:r w:rsidRPr="009A6BD2">
        <w:rPr>
          <w:rStyle w:val="Rimandonotaapidipagina"/>
          <w:rFonts w:ascii="Times" w:hAnsi="Times New Roman" w:cs="Times"/>
        </w:rPr>
        <w:footnoteReference w:id="244"/>
      </w:r>
      <w:r w:rsidRPr="009A6BD2">
        <w:rPr>
          <w:rFonts w:ascii="Times New Roman" w:hAnsi="Times New Roman" w:cs="Times"/>
        </w:rPr>
        <w:t>. Inversement, les choses affectées à un clan ou à une phratrie ne peuvent servir contre les membres de cette phratrie ou de ce clan. Chez les Wotjobaluk, chaque phratrie a ses arbres qui l</w:t>
      </w:r>
      <w:r w:rsidRPr="009A6BD2">
        <w:rPr>
          <w:rFonts w:ascii="Times New Roman" w:hAnsi="Times New Roman" w:cs="Times"/>
        </w:rPr>
        <w:t>ui sont propres.</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Or, pour chasser un animal de la phratrie Gurogity, on ne peut employer que des armes dont le bois est emprunté aux arbres de l'autre phratrie et inversement ; sinon le chasseur est assuré de manquer son coup </w:t>
      </w:r>
      <w:r w:rsidRPr="009A6BD2">
        <w:rPr>
          <w:rStyle w:val="Rimandonotaapidipagina"/>
          <w:rFonts w:ascii="Times" w:hAnsi="Times New Roman" w:cs="Times"/>
        </w:rPr>
        <w:footnoteReference w:id="245"/>
      </w:r>
      <w:r w:rsidRPr="009A6BD2">
        <w:rPr>
          <w:rFonts w:ascii="Times New Roman" w:hAnsi="Times New Roman" w:cs="Times"/>
        </w:rPr>
        <w:t>. L'indigène est convaincu q</w:t>
      </w:r>
      <w:r w:rsidRPr="009A6BD2">
        <w:rPr>
          <w:rFonts w:ascii="Times New Roman" w:hAnsi="Times New Roman" w:cs="Times"/>
        </w:rPr>
        <w:t>ue la flèche se détournerait d'elle-même du but et se refuserait, pour ainsi dire, à atteindre un animal parent et ami.</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Ainsi, les gens du clan et les choses qui y sont classées forment, par leur réunion, un système solidaire dont toutes les parties sont </w:t>
      </w:r>
      <w:r w:rsidRPr="009A6BD2">
        <w:rPr>
          <w:rFonts w:ascii="Times New Roman" w:hAnsi="Times New Roman" w:cs="Times"/>
        </w:rPr>
        <w:t>liées et vibrent sympathiquement. Cette orga</w:t>
      </w:r>
      <w:r w:rsidRPr="009A6BD2">
        <w:rPr>
          <w:rFonts w:ascii="Times" w:hAnsi="Times New Roman" w:cs="Times"/>
        </w:rPr>
        <w:softHyphen/>
      </w:r>
      <w:r w:rsidRPr="009A6BD2">
        <w:rPr>
          <w:rFonts w:ascii="Times New Roman" w:hAnsi="Times New Roman" w:cs="Times"/>
        </w:rPr>
        <w:t>ni</w:t>
      </w:r>
      <w:r w:rsidRPr="009A6BD2">
        <w:rPr>
          <w:rFonts w:ascii="Times" w:hAnsi="Times New Roman" w:cs="Times"/>
        </w:rPr>
        <w:softHyphen/>
      </w:r>
      <w:r w:rsidRPr="009A6BD2">
        <w:rPr>
          <w:rFonts w:ascii="Times New Roman" w:hAnsi="Times New Roman" w:cs="Times"/>
        </w:rPr>
        <w:t>sation qui, tout d'abord, pouvait nous paraître purement logique est, en même temps, morale. Un même principe l'anime et en fait l'unité : c'est le totem. De même qu'un homme qui appar</w:t>
      </w:r>
      <w:r w:rsidRPr="009A6BD2">
        <w:rPr>
          <w:rFonts w:ascii="Times" w:hAnsi="Times New Roman" w:cs="Times"/>
        </w:rPr>
        <w:softHyphen/>
      </w:r>
      <w:r w:rsidRPr="009A6BD2">
        <w:rPr>
          <w:rFonts w:ascii="Times New Roman" w:hAnsi="Times New Roman" w:cs="Times"/>
        </w:rPr>
        <w:t>tient au clan du Corbea</w:t>
      </w:r>
      <w:r w:rsidRPr="009A6BD2">
        <w:rPr>
          <w:rFonts w:ascii="Times New Roman" w:hAnsi="Times New Roman" w:cs="Times"/>
        </w:rPr>
        <w:t>u a en lui quelque chose de cet animal, la pluie, puisqu'elle est du même clan et qu'elle ressortit au même totem, est nécessairement considérée, elle aussi, comme « étant la même chose qu'un corbeau »; pour la même raison, la lune est un kakatoès noir, le</w:t>
      </w:r>
      <w:r w:rsidRPr="009A6BD2">
        <w:rPr>
          <w:rFonts w:ascii="Times New Roman" w:hAnsi="Times New Roman" w:cs="Times"/>
        </w:rPr>
        <w:t xml:space="preserve"> soleil un kakatoès blanc, tout arbre à bois noir un pélican, etc. Tous les êtres rangés dans un même clan, hommes, animaux, plantes, objets inanimés, sont donc de simples moda</w:t>
      </w:r>
      <w:r w:rsidRPr="009A6BD2">
        <w:rPr>
          <w:rFonts w:ascii="Times" w:hAnsi="Times New Roman" w:cs="Times"/>
        </w:rPr>
        <w:softHyphen/>
      </w:r>
      <w:r w:rsidRPr="009A6BD2">
        <w:rPr>
          <w:rFonts w:ascii="Times New Roman" w:hAnsi="Times New Roman" w:cs="Times"/>
        </w:rPr>
        <w:t>lités de l'être totémique. Voilà ce que signifie la formule que nous rapportion</w:t>
      </w:r>
      <w:r w:rsidRPr="009A6BD2">
        <w:rPr>
          <w:rFonts w:ascii="Times New Roman" w:hAnsi="Times New Roman" w:cs="Times"/>
        </w:rPr>
        <w:t>s tout à l'heure et qui en fait de véritables congénères : tous sont bien réellement de la même chair en ce sens qu'ils participent tous de la nature de l'animal totémique. D'ailleurs, les qualificatifs qu'on leur donne sont aussi ceux qu'on donne au totem</w:t>
      </w:r>
      <w:r w:rsidRPr="009A6BD2">
        <w:rPr>
          <w:rFonts w:ascii="Times New Roman" w:hAnsi="Times New Roman" w:cs="Times"/>
        </w:rPr>
        <w:t> </w:t>
      </w:r>
      <w:r w:rsidRPr="009A6BD2">
        <w:rPr>
          <w:rStyle w:val="Rimandonotaapidipagina"/>
          <w:rFonts w:ascii="Times" w:hAnsi="Times New Roman" w:cs="Times"/>
        </w:rPr>
        <w:footnoteReference w:id="246"/>
      </w:r>
      <w:r w:rsidRPr="009A6BD2">
        <w:rPr>
          <w:rFonts w:ascii="Times New Roman" w:hAnsi="Times New Roman" w:cs="Times"/>
        </w:rPr>
        <w:t>. Les Wotjobaluk appellent du même nom Mir et le totem et les choses subsumées sous lui </w:t>
      </w:r>
      <w:r w:rsidRPr="009A6BD2">
        <w:rPr>
          <w:rStyle w:val="Rimandonotaapidipagina"/>
          <w:rFonts w:ascii="Times" w:hAnsi="Times New Roman" w:cs="Times"/>
        </w:rPr>
        <w:footnoteReference w:id="247"/>
      </w:r>
      <w:r w:rsidRPr="009A6BD2">
        <w:rPr>
          <w:rFonts w:ascii="Times New Roman" w:hAnsi="Times New Roman" w:cs="Times"/>
        </w:rPr>
        <w:t>. Chez les Arunta, où, comme nous le verrons, il existe encore des traces visibles de classification, des mots différents, il est vrai, désignent le totem et les êtr</w:t>
      </w:r>
      <w:r w:rsidRPr="009A6BD2">
        <w:rPr>
          <w:rFonts w:ascii="Times New Roman" w:hAnsi="Times New Roman" w:cs="Times"/>
        </w:rPr>
        <w:t xml:space="preserve">es qui y sont rattachés ; pourtant, le nom qu'on donne à ces derniers témoigne des étroits rapports qui les unissent à l'animal totémique. On dit qu'ils sont ses </w:t>
      </w:r>
      <w:r w:rsidRPr="009A6BD2">
        <w:rPr>
          <w:rFonts w:ascii="Times New Roman" w:hAnsi="Times New Roman" w:cs="Times"/>
          <w:i/>
          <w:iCs/>
        </w:rPr>
        <w:t xml:space="preserve">intimes, </w:t>
      </w:r>
      <w:r w:rsidRPr="009A6BD2">
        <w:rPr>
          <w:rFonts w:ascii="Times New Roman" w:hAnsi="Times New Roman" w:cs="Times"/>
        </w:rPr>
        <w:t>ses associés, ses amis ; on croit qu'ils en sont inséparables </w:t>
      </w:r>
      <w:r w:rsidRPr="009A6BD2">
        <w:rPr>
          <w:rStyle w:val="Rimandonotaapidipagina"/>
          <w:rFonts w:ascii="Times" w:hAnsi="Times New Roman" w:cs="Times"/>
        </w:rPr>
        <w:footnoteReference w:id="248"/>
      </w:r>
      <w:r w:rsidRPr="009A6BD2">
        <w:rPr>
          <w:rFonts w:ascii="Times New Roman" w:hAnsi="Times New Roman" w:cs="Times"/>
        </w:rPr>
        <w:t>. On a donc le senti</w:t>
      </w:r>
      <w:r w:rsidRPr="009A6BD2">
        <w:rPr>
          <w:rFonts w:ascii="Times" w:hAnsi="Times New Roman" w:cs="Times"/>
        </w:rPr>
        <w:softHyphen/>
      </w:r>
      <w:r w:rsidRPr="009A6BD2">
        <w:rPr>
          <w:rFonts w:ascii="Times New Roman" w:hAnsi="Times New Roman" w:cs="Times"/>
        </w:rPr>
        <w:t>m</w:t>
      </w:r>
      <w:r w:rsidRPr="009A6BD2">
        <w:rPr>
          <w:rFonts w:ascii="Times New Roman" w:hAnsi="Times New Roman" w:cs="Times"/>
        </w:rPr>
        <w:t>ent que ce sont des choses très proches parentes.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d'un autre côté, nous savons que l'animal totémique est un être sacré. Toutes les choses qui sont rangées dans le clan dont il est l'emblème ont donc le même caractère, puisqu'elles sont, en un sens, </w:t>
      </w:r>
      <w:r w:rsidRPr="009A6BD2">
        <w:rPr>
          <w:rFonts w:ascii="Times New Roman" w:hAnsi="Times New Roman" w:cs="Times"/>
        </w:rPr>
        <w:t>des animaux de la même espèce, tout comme l'homme. Elles sont, elles aussi, sacrées, et les classifications qui les situent par rapport aux autres choses de l'univers, leur assignent du même coup une place dans l'ensemble du système religieux. C'est pourqu</w:t>
      </w:r>
      <w:r w:rsidRPr="009A6BD2">
        <w:rPr>
          <w:rFonts w:ascii="Times New Roman" w:hAnsi="Times New Roman" w:cs="Times"/>
        </w:rPr>
        <w:t xml:space="preserve">oi celles d'entre elles qui sont des animaux ou des plantes ne peuvent pas être librement consommées par les membres humains du clan. Ainsi, dans la tribu du Mont-Gambier, les gens qui ont pour totem un </w:t>
      </w:r>
      <w:r w:rsidRPr="009A6BD2">
        <w:rPr>
          <w:rFonts w:ascii="Times New Roman" w:hAnsi="Times New Roman" w:cs="Times"/>
          <w:i/>
          <w:iCs/>
        </w:rPr>
        <w:t xml:space="preserve">serpent sans venin, </w:t>
      </w:r>
      <w:r w:rsidRPr="009A6BD2">
        <w:rPr>
          <w:rFonts w:ascii="Times New Roman" w:hAnsi="Times New Roman" w:cs="Times"/>
        </w:rPr>
        <w:t>ne doivent pas seulement s'absten</w:t>
      </w:r>
      <w:r w:rsidRPr="009A6BD2">
        <w:rPr>
          <w:rFonts w:ascii="Times New Roman" w:hAnsi="Times New Roman" w:cs="Times"/>
        </w:rPr>
        <w:t>ir de la chair de ce serpent; celle des phoques, des anguilles, etc., leur est également interdite </w:t>
      </w:r>
      <w:r w:rsidRPr="009A6BD2">
        <w:rPr>
          <w:rStyle w:val="Rimandonotaapidipagina"/>
          <w:rFonts w:ascii="Times" w:hAnsi="Times New Roman" w:cs="Times"/>
        </w:rPr>
        <w:footnoteReference w:id="249"/>
      </w:r>
      <w:r w:rsidRPr="009A6BD2">
        <w:rPr>
          <w:rFonts w:ascii="Times New Roman" w:hAnsi="Times New Roman" w:cs="Times"/>
        </w:rPr>
        <w:t>. Si, poussés par la nécessité, ils se laissent aller à en manger, ils doivent tout au moins atténuer le sacrilège par des rites expiatoires, comme s'il s'a</w:t>
      </w:r>
      <w:r w:rsidRPr="009A6BD2">
        <w:rPr>
          <w:rFonts w:ascii="Times New Roman" w:hAnsi="Times New Roman" w:cs="Times"/>
        </w:rPr>
        <w:t>gissait de totems proprement dits </w:t>
      </w:r>
      <w:r w:rsidRPr="009A6BD2">
        <w:rPr>
          <w:rStyle w:val="Rimandonotaapidipagina"/>
          <w:rFonts w:ascii="Times" w:hAnsi="Times New Roman" w:cs="Times"/>
        </w:rPr>
        <w:footnoteReference w:id="250"/>
      </w:r>
      <w:r w:rsidRPr="009A6BD2">
        <w:rPr>
          <w:rFonts w:ascii="Times New Roman" w:hAnsi="Times New Roman" w:cs="Times"/>
        </w:rPr>
        <w:t>. Chez les Euahlayi </w:t>
      </w:r>
      <w:r w:rsidRPr="009A6BD2">
        <w:rPr>
          <w:rStyle w:val="Rimandonotaapidipagina"/>
          <w:rFonts w:ascii="Times" w:hAnsi="Times New Roman" w:cs="Times"/>
        </w:rPr>
        <w:footnoteReference w:id="251"/>
      </w:r>
      <w:r w:rsidRPr="009A6BD2">
        <w:rPr>
          <w:rFonts w:ascii="Times New Roman" w:hAnsi="Times New Roman" w:cs="Times"/>
        </w:rPr>
        <w:t>, où il est permis d'user du totem, mais non d'en abuser, la même règle s'applique aux autres choses du clan. Chez les Arunta, l'interdiction qui protège l'animal totémique s'étend jusqu'aux animaux a</w:t>
      </w:r>
      <w:r w:rsidRPr="009A6BD2">
        <w:rPr>
          <w:rFonts w:ascii="Times New Roman" w:hAnsi="Times New Roman" w:cs="Times"/>
        </w:rPr>
        <w:t>ssociés </w:t>
      </w:r>
      <w:r w:rsidRPr="009A6BD2">
        <w:rPr>
          <w:rStyle w:val="Rimandonotaapidipagina"/>
          <w:rFonts w:ascii="Times" w:hAnsi="Times New Roman" w:cs="Times"/>
        </w:rPr>
        <w:footnoteReference w:id="252"/>
      </w:r>
      <w:r w:rsidRPr="009A6BD2">
        <w:rPr>
          <w:rFonts w:ascii="Times New Roman" w:hAnsi="Times New Roman" w:cs="Times"/>
        </w:rPr>
        <w:t xml:space="preserve"> ; et, en tout cas, on doit à ces derniers des égards tout particuliers </w:t>
      </w:r>
      <w:r w:rsidRPr="009A6BD2">
        <w:rPr>
          <w:rStyle w:val="Rimandonotaapidipagina"/>
          <w:rFonts w:ascii="Times" w:hAnsi="Times New Roman" w:cs="Times"/>
        </w:rPr>
        <w:footnoteReference w:id="253"/>
      </w:r>
      <w:r w:rsidRPr="009A6BD2">
        <w:rPr>
          <w:rFonts w:ascii="Times New Roman" w:hAnsi="Times New Roman" w:cs="Times"/>
        </w:rPr>
        <w:t>. Les sentiments que les uns et les autres inspirent sont identiques </w:t>
      </w:r>
      <w:r w:rsidRPr="009A6BD2">
        <w:rPr>
          <w:rStyle w:val="Rimandonotaapidipagina"/>
          <w:rFonts w:ascii="Times" w:hAnsi="Times New Roman" w:cs="Times"/>
        </w:rPr>
        <w:footnoteReference w:id="25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 qui montre mieux encore que toutes les choses ainsi rattachées à un totem ne sont pas d'une a</w:t>
      </w:r>
      <w:r w:rsidRPr="009A6BD2">
        <w:rPr>
          <w:rFonts w:ascii="Times New Roman" w:hAnsi="Times New Roman" w:cs="Times"/>
        </w:rPr>
        <w:t>utre nature que celui-ci et, par conséquent, qu'elles ont un caractère religieux, c'est qu'à l'occasion elles jouent le même rôle. Ce sont des totems accessoires, secondaires, ou, suivant une expression qui est aujourd'hui consacrée par l'usage, des sous-t</w:t>
      </w:r>
      <w:r w:rsidRPr="009A6BD2">
        <w:rPr>
          <w:rFonts w:ascii="Times New Roman" w:hAnsi="Times New Roman" w:cs="Times"/>
        </w:rPr>
        <w:t>otems </w:t>
      </w:r>
      <w:r w:rsidRPr="009A6BD2">
        <w:rPr>
          <w:rStyle w:val="Rimandonotaapidipagina"/>
          <w:rFonts w:ascii="Times" w:hAnsi="Times New Roman" w:cs="Times"/>
        </w:rPr>
        <w:footnoteReference w:id="255"/>
      </w:r>
      <w:r w:rsidRPr="009A6BD2">
        <w:rPr>
          <w:rFonts w:ascii="Times New Roman" w:hAnsi="Times New Roman" w:cs="Times"/>
        </w:rPr>
        <w:t>. Il arrive sans cesse que, dans un clan, il se forme, sous l'influence de sympathies, d'affinités particu</w:t>
      </w:r>
      <w:r w:rsidRPr="009A6BD2">
        <w:rPr>
          <w:rFonts w:ascii="Times" w:hAnsi="Times New Roman" w:cs="Times"/>
        </w:rPr>
        <w:softHyphen/>
      </w:r>
      <w:r w:rsidRPr="009A6BD2">
        <w:rPr>
          <w:rFonts w:ascii="Times New Roman" w:hAnsi="Times New Roman" w:cs="Times"/>
        </w:rPr>
        <w:t>lières, des groupes plus restreints, des associations plus limitées qui tendent à vivre d'une vie relativement autonome, et à former comme une</w:t>
      </w:r>
      <w:r w:rsidRPr="009A6BD2">
        <w:rPr>
          <w:rFonts w:ascii="Times New Roman" w:hAnsi="Times New Roman" w:cs="Times"/>
        </w:rPr>
        <w:t xml:space="preserve"> subdivision nouvelle, comme un sous-clan à l'intérieur du premier. Ce sous-clan, pour se distinguer et s'individualiser, a besoin d'un totem particulier, d'un sous-totem par conséquent </w:t>
      </w:r>
      <w:r w:rsidRPr="009A6BD2">
        <w:rPr>
          <w:rStyle w:val="Rimandonotaapidipagina"/>
          <w:rFonts w:ascii="Times" w:hAnsi="Times New Roman" w:cs="Times"/>
        </w:rPr>
        <w:footnoteReference w:id="256"/>
      </w:r>
      <w:r w:rsidRPr="009A6BD2">
        <w:rPr>
          <w:rFonts w:ascii="Times New Roman" w:hAnsi="Times New Roman" w:cs="Times"/>
        </w:rPr>
        <w:t>. Or, c'est parmi les choses diverses classées sous le totem principa</w:t>
      </w:r>
      <w:r w:rsidRPr="009A6BD2">
        <w:rPr>
          <w:rFonts w:ascii="Times New Roman" w:hAnsi="Times New Roman" w:cs="Times"/>
        </w:rPr>
        <w:t xml:space="preserve">l que sont choisis les totems de ces groupes secondaires. Elles sont donc à la lettre, des totems virtuels, et la moindre circonstance suffit à les faire passer à l'acte. Il y a en elles une nature totémique latente qui se manifeste dès que les conditions </w:t>
      </w:r>
      <w:r w:rsidRPr="009A6BD2">
        <w:rPr>
          <w:rFonts w:ascii="Times New Roman" w:hAnsi="Times New Roman" w:cs="Times"/>
        </w:rPr>
        <w:t>le permettent ou l'exigent. Il arrive ainsi qu'un même individu a deux totems : un totem principal qui est com</w:t>
      </w:r>
      <w:r w:rsidRPr="009A6BD2">
        <w:rPr>
          <w:rFonts w:ascii="Times" w:hAnsi="Times New Roman" w:cs="Times"/>
        </w:rPr>
        <w:softHyphen/>
      </w:r>
      <w:r w:rsidRPr="009A6BD2">
        <w:rPr>
          <w:rFonts w:ascii="Times New Roman" w:hAnsi="Times New Roman" w:cs="Times"/>
        </w:rPr>
        <w:t xml:space="preserve">mun au clan tout entier et un sous-totem qui est spécial au sous-clan dont il fait partie. C'est quelque chose d'analogue au </w:t>
      </w:r>
      <w:r w:rsidRPr="009A6BD2">
        <w:rPr>
          <w:rFonts w:ascii="Times New Roman" w:hAnsi="Times New Roman" w:cs="Times"/>
          <w:i/>
          <w:iCs/>
        </w:rPr>
        <w:t xml:space="preserve">nomen </w:t>
      </w:r>
      <w:r w:rsidRPr="009A6BD2">
        <w:rPr>
          <w:rFonts w:ascii="Times New Roman" w:hAnsi="Times New Roman" w:cs="Times"/>
        </w:rPr>
        <w:t xml:space="preserve">et au </w:t>
      </w:r>
      <w:r w:rsidRPr="009A6BD2">
        <w:rPr>
          <w:rFonts w:ascii="Times New Roman" w:hAnsi="Times New Roman" w:cs="Times"/>
          <w:i/>
          <w:iCs/>
        </w:rPr>
        <w:t>cognomen</w:t>
      </w:r>
      <w:r w:rsidRPr="009A6BD2">
        <w:rPr>
          <w:rFonts w:ascii="Times New Roman" w:hAnsi="Times New Roman" w:cs="Times"/>
          <w:i/>
          <w:iCs/>
        </w:rPr>
        <w:t xml:space="preserve"> </w:t>
      </w:r>
      <w:r w:rsidRPr="009A6BD2">
        <w:rPr>
          <w:rFonts w:ascii="Times New Roman" w:hAnsi="Times New Roman" w:cs="Times"/>
        </w:rPr>
        <w:t>des Romains </w:t>
      </w:r>
      <w:r w:rsidRPr="009A6BD2">
        <w:rPr>
          <w:rStyle w:val="Rimandonotaapidipagina"/>
          <w:rFonts w:ascii="Times" w:hAnsi="Times New Roman" w:cs="Times"/>
        </w:rPr>
        <w:footnoteReference w:id="25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Parfois, nous voyons même un sous-clan s'affranchir totalement et devenir un groupe autonome, un clan indépendant : le sous-totem, de son côté, devient alors un totem propre</w:t>
      </w:r>
      <w:r w:rsidRPr="009A6BD2">
        <w:rPr>
          <w:rFonts w:ascii="Times" w:hAnsi="Times New Roman" w:cs="Times"/>
        </w:rPr>
        <w:softHyphen/>
      </w:r>
      <w:r w:rsidRPr="009A6BD2">
        <w:rPr>
          <w:rFonts w:ascii="Times New Roman" w:hAnsi="Times New Roman" w:cs="Times"/>
        </w:rPr>
        <w:t xml:space="preserve">ment dit. Une tribu où ce </w:t>
      </w:r>
      <w:r w:rsidRPr="009A6BD2">
        <w:rPr>
          <w:rFonts w:ascii="Times New Roman" w:hAnsi="Times New Roman" w:cs="Times"/>
          <w:i/>
          <w:iCs/>
        </w:rPr>
        <w:t xml:space="preserve">processus </w:t>
      </w:r>
      <w:r w:rsidRPr="009A6BD2">
        <w:rPr>
          <w:rFonts w:ascii="Times New Roman" w:hAnsi="Times New Roman" w:cs="Times"/>
        </w:rPr>
        <w:t>de segmentation a été, pour a</w:t>
      </w:r>
      <w:r w:rsidRPr="009A6BD2">
        <w:rPr>
          <w:rFonts w:ascii="Times New Roman" w:hAnsi="Times New Roman" w:cs="Times"/>
        </w:rPr>
        <w:t>insi dire, porté jusqu'à son extrême limite est celle des Arunta. Déjà les indications contenues dans le premier livre de Spencer et Gillen démontraient qu'il y avait chez les Arunta une soixantaine de totems </w:t>
      </w:r>
      <w:r w:rsidRPr="009A6BD2">
        <w:rPr>
          <w:rStyle w:val="Rimandonotaapidipagina"/>
          <w:rFonts w:ascii="Times" w:hAnsi="Times New Roman" w:cs="Times"/>
        </w:rPr>
        <w:footnoteReference w:id="258"/>
      </w:r>
      <w:r w:rsidRPr="009A6BD2">
        <w:rPr>
          <w:rFonts w:ascii="Times New Roman" w:hAnsi="Times New Roman" w:cs="Times"/>
        </w:rPr>
        <w:t xml:space="preserve"> ; mais les récentes recherches de Strehlow on</w:t>
      </w:r>
      <w:r w:rsidRPr="009A6BD2">
        <w:rPr>
          <w:rFonts w:ascii="Times New Roman" w:hAnsi="Times New Roman" w:cs="Times"/>
        </w:rPr>
        <w:t>t établi que le nombre en est beaucoup plus consi</w:t>
      </w:r>
      <w:r w:rsidRPr="009A6BD2">
        <w:rPr>
          <w:rFonts w:ascii="Times" w:hAnsi="Times New Roman" w:cs="Times"/>
        </w:rPr>
        <w:softHyphen/>
      </w:r>
      <w:r w:rsidRPr="009A6BD2">
        <w:rPr>
          <w:rFonts w:ascii="Times New Roman" w:hAnsi="Times New Roman" w:cs="Times"/>
        </w:rPr>
        <w:t>dérable. Il n'en compte pas moins de 442  </w:t>
      </w:r>
      <w:r w:rsidRPr="009A6BD2">
        <w:rPr>
          <w:rStyle w:val="Rimandonotaapidipagina"/>
          <w:rFonts w:ascii="Times" w:hAnsi="Times New Roman" w:cs="Times"/>
        </w:rPr>
        <w:footnoteReference w:id="259"/>
      </w:r>
      <w:r w:rsidRPr="009A6BD2">
        <w:rPr>
          <w:rFonts w:ascii="Times New Roman" w:hAnsi="Times New Roman" w:cs="Times"/>
        </w:rPr>
        <w:t>. Spencer et Gillen ne commettaient donc aucune exagération quand ils disaient que « dans le pays occupé par les indigènes, il n'existe pas un objet, animé ou inan</w:t>
      </w:r>
      <w:r w:rsidRPr="009A6BD2">
        <w:rPr>
          <w:rFonts w:ascii="Times New Roman" w:hAnsi="Times New Roman" w:cs="Times"/>
        </w:rPr>
        <w:t>imé, qui ne donne son nom à quelque groupe totémique d'indi</w:t>
      </w:r>
      <w:r w:rsidRPr="009A6BD2">
        <w:rPr>
          <w:rFonts w:ascii="Times" w:hAnsi="Times New Roman" w:cs="Times"/>
        </w:rPr>
        <w:softHyphen/>
      </w:r>
      <w:r w:rsidRPr="009A6BD2">
        <w:rPr>
          <w:rFonts w:ascii="Times New Roman" w:hAnsi="Times New Roman" w:cs="Times"/>
        </w:rPr>
        <w:t>vidus </w:t>
      </w:r>
      <w:r w:rsidRPr="009A6BD2">
        <w:rPr>
          <w:rStyle w:val="Rimandonotaapidipagina"/>
          <w:rFonts w:ascii="Times" w:hAnsi="Times New Roman" w:cs="Times"/>
        </w:rPr>
        <w:footnoteReference w:id="260"/>
      </w:r>
      <w:r w:rsidRPr="009A6BD2">
        <w:rPr>
          <w:rFonts w:ascii="Times New Roman" w:hAnsi="Times New Roman" w:cs="Times"/>
        </w:rPr>
        <w:t xml:space="preserve"> ». Or cette multitude de totems, qui est prodigieuse quand on la compare au chiffre de la population, vient de ce que, sous l'influence de circonstances particulières, les clans primi</w:t>
      </w:r>
      <w:r w:rsidRPr="009A6BD2">
        <w:rPr>
          <w:rFonts w:ascii="Times" w:hAnsi="Times New Roman" w:cs="Times"/>
        </w:rPr>
        <w:softHyphen/>
      </w:r>
      <w:r w:rsidRPr="009A6BD2">
        <w:rPr>
          <w:rFonts w:ascii="Times New Roman" w:hAnsi="Times New Roman" w:cs="Times"/>
        </w:rPr>
        <w:t>tifs</w:t>
      </w:r>
      <w:r w:rsidRPr="009A6BD2">
        <w:rPr>
          <w:rFonts w:ascii="Times New Roman" w:hAnsi="Times New Roman" w:cs="Times"/>
        </w:rPr>
        <w:t xml:space="preserve"> se sont divisés et subdivisés à l'infini; par suite, presque tous les sous-totems sont passés à l'état de totems.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ce que les observations de Strehlow ont définitivement démontré. Spencer et Gillen n'avaient cité que quelques cas isolés de totems as</w:t>
      </w:r>
      <w:r w:rsidRPr="009A6BD2">
        <w:rPr>
          <w:rFonts w:ascii="Times New Roman" w:hAnsi="Times New Roman" w:cs="Times"/>
        </w:rPr>
        <w:t>sociés </w:t>
      </w:r>
      <w:r w:rsidRPr="009A6BD2">
        <w:rPr>
          <w:rStyle w:val="Rimandonotaapidipagina"/>
          <w:rFonts w:ascii="Times" w:hAnsi="Times New Roman" w:cs="Times"/>
        </w:rPr>
        <w:footnoteReference w:id="261"/>
      </w:r>
      <w:r w:rsidRPr="009A6BD2">
        <w:rPr>
          <w:rFonts w:ascii="Times New Roman" w:hAnsi="Times New Roman" w:cs="Times"/>
        </w:rPr>
        <w:t>. Strehlow a établi qu'il s'agissait en réalité d'une organisation absolument générale ; il a pu dresser un tableau où à peu près tous les totems des Arunta sont classés d'après ce principe : tous sont rattachés, en qualité d'asso</w:t>
      </w:r>
      <w:r w:rsidRPr="009A6BD2">
        <w:rPr>
          <w:rFonts w:ascii="Times" w:hAnsi="Times New Roman" w:cs="Times"/>
        </w:rPr>
        <w:softHyphen/>
      </w:r>
      <w:r w:rsidRPr="009A6BD2">
        <w:rPr>
          <w:rFonts w:ascii="Times New Roman" w:hAnsi="Times New Roman" w:cs="Times"/>
        </w:rPr>
        <w:t>ciés ou d'auxilia</w:t>
      </w:r>
      <w:r w:rsidRPr="009A6BD2">
        <w:rPr>
          <w:rFonts w:ascii="Times New Roman" w:hAnsi="Times New Roman" w:cs="Times"/>
        </w:rPr>
        <w:t>ires, à une soixantaine de totems principaux </w:t>
      </w:r>
      <w:r w:rsidRPr="009A6BD2">
        <w:rPr>
          <w:rStyle w:val="Rimandonotaapidipagina"/>
          <w:rFonts w:ascii="Times" w:hAnsi="Times New Roman" w:cs="Times"/>
        </w:rPr>
        <w:footnoteReference w:id="262"/>
      </w:r>
      <w:r w:rsidRPr="009A6BD2">
        <w:rPr>
          <w:rFonts w:ascii="Times New Roman" w:hAnsi="Times New Roman" w:cs="Times"/>
        </w:rPr>
        <w:t>. Les premiers sont censés être au service des seconds </w:t>
      </w:r>
      <w:r w:rsidRPr="009A6BD2">
        <w:rPr>
          <w:rStyle w:val="Rimandonotaapidipagina"/>
          <w:rFonts w:ascii="Times" w:hAnsi="Times New Roman" w:cs="Times"/>
        </w:rPr>
        <w:footnoteReference w:id="263"/>
      </w:r>
      <w:r w:rsidRPr="009A6BD2">
        <w:rPr>
          <w:rFonts w:ascii="Times New Roman" w:hAnsi="Times New Roman" w:cs="Times"/>
        </w:rPr>
        <w:t>. Cet état de dépendance relative est très vraisemblablement l'écho d'un temps où les « alliés » d'aujourd'hui n'étaient que des sous-totems, où par suite</w:t>
      </w:r>
      <w:r w:rsidRPr="009A6BD2">
        <w:rPr>
          <w:rFonts w:ascii="Times New Roman" w:hAnsi="Times New Roman" w:cs="Times"/>
        </w:rPr>
        <w:t>, la tribu ne comptait qu'un petit nombre de clans, subdivisés en sous-clans. De nombreuses survi</w:t>
      </w:r>
      <w:r w:rsidRPr="009A6BD2">
        <w:rPr>
          <w:rFonts w:ascii="Times" w:hAnsi="Times New Roman" w:cs="Times"/>
        </w:rPr>
        <w:softHyphen/>
      </w:r>
      <w:r w:rsidRPr="009A6BD2">
        <w:rPr>
          <w:rFonts w:ascii="Times New Roman" w:hAnsi="Times New Roman" w:cs="Times"/>
        </w:rPr>
        <w:t>van</w:t>
      </w:r>
      <w:r w:rsidRPr="009A6BD2">
        <w:rPr>
          <w:rFonts w:ascii="Times" w:hAnsi="Times New Roman" w:cs="Times"/>
        </w:rPr>
        <w:softHyphen/>
      </w:r>
      <w:r w:rsidRPr="009A6BD2">
        <w:rPr>
          <w:rFonts w:ascii="Times New Roman" w:hAnsi="Times New Roman" w:cs="Times"/>
        </w:rPr>
        <w:t>ces confirment cette hypothèse. Il arrive fréquemment que deux groupes qui sont ainsi associés ont le même emblème totémique : or l'unité de l'emblème n'e</w:t>
      </w:r>
      <w:r w:rsidRPr="009A6BD2">
        <w:rPr>
          <w:rFonts w:ascii="Times New Roman" w:hAnsi="Times New Roman" w:cs="Times"/>
        </w:rPr>
        <w:t>st explicable que si, primi</w:t>
      </w:r>
      <w:r w:rsidRPr="009A6BD2">
        <w:rPr>
          <w:rFonts w:ascii="Times" w:hAnsi="Times New Roman" w:cs="Times"/>
        </w:rPr>
        <w:softHyphen/>
      </w:r>
      <w:r w:rsidRPr="009A6BD2">
        <w:rPr>
          <w:rFonts w:ascii="Times New Roman" w:hAnsi="Times New Roman" w:cs="Times"/>
        </w:rPr>
        <w:t>ti</w:t>
      </w:r>
      <w:r w:rsidRPr="009A6BD2">
        <w:rPr>
          <w:rFonts w:ascii="Times" w:hAnsi="Times New Roman" w:cs="Times"/>
        </w:rPr>
        <w:softHyphen/>
      </w:r>
      <w:r w:rsidRPr="009A6BD2">
        <w:rPr>
          <w:rFonts w:ascii="Times New Roman" w:hAnsi="Times New Roman" w:cs="Times"/>
        </w:rPr>
        <w:t>vement, les deux groupes ne faisaient qu'un </w:t>
      </w:r>
      <w:r w:rsidRPr="009A6BD2">
        <w:rPr>
          <w:rStyle w:val="Rimandonotaapidipagina"/>
          <w:rFonts w:ascii="Times" w:hAnsi="Times New Roman" w:cs="Times"/>
        </w:rPr>
        <w:footnoteReference w:id="264"/>
      </w:r>
      <w:r w:rsidRPr="009A6BD2">
        <w:rPr>
          <w:rFonts w:ascii="Times New Roman" w:hAnsi="Times New Roman" w:cs="Times"/>
        </w:rPr>
        <w:t>. Ailleurs, la parenté des deux clans se manifeste par la part et l'intérêt que chacun d'eux prend aux rites de l'autre. Les deux cultes ne sont encore qu'imparfaitement séparés; c</w:t>
      </w:r>
      <w:r w:rsidRPr="009A6BD2">
        <w:rPr>
          <w:rFonts w:ascii="Times New Roman" w:hAnsi="Times New Roman" w:cs="Times"/>
        </w:rPr>
        <w:t>'est, très probablement, qu'ils ont commencé par être complètement confondus </w:t>
      </w:r>
      <w:r w:rsidRPr="009A6BD2">
        <w:rPr>
          <w:rStyle w:val="Rimandonotaapidipagina"/>
          <w:rFonts w:ascii="Times" w:hAnsi="Times New Roman" w:cs="Times"/>
        </w:rPr>
        <w:footnoteReference w:id="265"/>
      </w:r>
      <w:r w:rsidRPr="009A6BD2">
        <w:rPr>
          <w:rFonts w:ascii="Times New Roman" w:hAnsi="Times New Roman" w:cs="Times"/>
        </w:rPr>
        <w:t>. La tradition explique le lien qui les unit en imaginant qu'autrefois les deux clans occupaient des habitats tout voisins </w:t>
      </w:r>
      <w:r w:rsidRPr="009A6BD2">
        <w:rPr>
          <w:rStyle w:val="Rimandonotaapidipagina"/>
          <w:rFonts w:ascii="Times" w:hAnsi="Times New Roman" w:cs="Times"/>
        </w:rPr>
        <w:footnoteReference w:id="266"/>
      </w:r>
      <w:r w:rsidRPr="009A6BD2">
        <w:rPr>
          <w:rFonts w:ascii="Times New Roman" w:hAnsi="Times New Roman" w:cs="Times"/>
        </w:rPr>
        <w:t>. Dans d'autres cas, le mythe dit même expressément qu</w:t>
      </w:r>
      <w:r w:rsidRPr="009A6BD2">
        <w:rPr>
          <w:rFonts w:ascii="Times New Roman" w:hAnsi="Times New Roman" w:cs="Times"/>
        </w:rPr>
        <w:t>e l'un d'eux est dérivé de l'autre. On raconte que l'animal associé a commencé par appartenir à l'espèce qui sert encore de totem principal ; il ne s'en serait diffé</w:t>
      </w:r>
      <w:r w:rsidRPr="009A6BD2">
        <w:rPr>
          <w:rFonts w:ascii="Times" w:hAnsi="Times New Roman" w:cs="Times"/>
        </w:rPr>
        <w:softHyphen/>
      </w:r>
      <w:r w:rsidRPr="009A6BD2">
        <w:rPr>
          <w:rFonts w:ascii="Times New Roman" w:hAnsi="Times New Roman" w:cs="Times"/>
        </w:rPr>
        <w:t>rencié qu'à une époque ultérieure. Ainsi, les oiseaux chantunga, qui sont associés aujourd</w:t>
      </w:r>
      <w:r w:rsidRPr="009A6BD2">
        <w:rPr>
          <w:rFonts w:ascii="Times New Roman" w:hAnsi="Times New Roman" w:cs="Times"/>
        </w:rPr>
        <w:t>'hui à la chenille witchetty, auraient été, aux temps fabuleux, des chenilles witchetty qui se seraient ensuite transformées en oiseaux. Deux espèces qui sont rattachées actuellement au totem de la fourmi à miel auraient été primitivement des fourmis à mie</w:t>
      </w:r>
      <w:r w:rsidRPr="009A6BD2">
        <w:rPr>
          <w:rFonts w:ascii="Times New Roman" w:hAnsi="Times New Roman" w:cs="Times"/>
        </w:rPr>
        <w:t>l, etc. </w:t>
      </w:r>
      <w:r w:rsidRPr="009A6BD2">
        <w:rPr>
          <w:rStyle w:val="Rimandonotaapidipagina"/>
          <w:rFonts w:ascii="Times" w:hAnsi="Times New Roman" w:cs="Times"/>
        </w:rPr>
        <w:footnoteReference w:id="267"/>
      </w:r>
      <w:r w:rsidRPr="009A6BD2">
        <w:rPr>
          <w:rFonts w:ascii="Times New Roman" w:hAnsi="Times New Roman" w:cs="Times"/>
        </w:rPr>
        <w:t xml:space="preserve"> Cette transformation d'un sous-totem en totem se fait, d'ailleurs, par degrés insensibles, si bien que, dans certains cas, la situation est indécise et il est très malaisé de dire si l'on a affaire à un totem principal ou à un totem secondaire </w:t>
      </w:r>
      <w:r w:rsidRPr="009A6BD2">
        <w:rPr>
          <w:rStyle w:val="Rimandonotaapidipagina"/>
          <w:rFonts w:ascii="Times" w:hAnsi="Times New Roman" w:cs="Times"/>
        </w:rPr>
        <w:footnoteReference w:id="268"/>
      </w:r>
      <w:r w:rsidRPr="009A6BD2">
        <w:rPr>
          <w:rFonts w:ascii="Times New Roman" w:hAnsi="Times New Roman" w:cs="Times"/>
        </w:rPr>
        <w:t>.</w:t>
      </w:r>
      <w:r w:rsidRPr="009A6BD2">
        <w:rPr>
          <w:rFonts w:ascii="Times New Roman" w:hAnsi="Times New Roman" w:cs="Times"/>
        </w:rPr>
        <w:t xml:space="preserve"> Il y a, comme dit Howitt à propos des Wotjobaluk, des sous-totems qui sont des totems en voie de formation </w:t>
      </w:r>
      <w:r w:rsidRPr="009A6BD2">
        <w:rPr>
          <w:rStyle w:val="Rimandonotaapidipagina"/>
          <w:rFonts w:ascii="Times" w:hAnsi="Times New Roman" w:cs="Times"/>
        </w:rPr>
        <w:footnoteReference w:id="269"/>
      </w:r>
      <w:r w:rsidRPr="009A6BD2">
        <w:rPr>
          <w:rFonts w:ascii="Times New Roman" w:hAnsi="Times New Roman" w:cs="Times"/>
        </w:rPr>
        <w:t>. Ainsi, les différentes choses qui sont classées dans un clan constituent comme autant de centres autour desquels peuvent se former de nouveaux cu</w:t>
      </w:r>
      <w:r w:rsidRPr="009A6BD2">
        <w:rPr>
          <w:rFonts w:ascii="Times New Roman" w:hAnsi="Times New Roman" w:cs="Times"/>
        </w:rPr>
        <w:t>ltes totémiques. C'est la meilleure preuve des sentiments religieux qu'elles inspirent. Si elles n'avaient pas un caractère sacré, elles ne pourraient pas être promues aussi facilement à la même dignité que les choses sacrées par excellence, les totems pro</w:t>
      </w:r>
      <w:r w:rsidRPr="009A6BD2">
        <w:rPr>
          <w:rFonts w:ascii="Times New Roman" w:hAnsi="Times New Roman" w:cs="Times"/>
        </w:rPr>
        <w:t>prement dits.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Le cercle des choses religieuses s'étend donc bien au delà des limites dans lesquelles il paraissait tout d'abord renfermé. Il ne comprend pas seulement les animaux totémiques et les membres humains du clan; mais, puisqu'il n'existe rien de </w:t>
      </w:r>
      <w:r w:rsidRPr="009A6BD2">
        <w:rPr>
          <w:rFonts w:ascii="Times New Roman" w:hAnsi="Times New Roman" w:cs="Times"/>
        </w:rPr>
        <w:t>connu qui ne soit classé dans un clan et sous un totem, il n'existe également rien qui ne reçoive, à des degrés divers, quelque reflet de religiosité. Quand, dans les religions qui se formeront ultérieurement, les dieux proprement dits apparaîtront, chacun</w:t>
      </w:r>
      <w:r w:rsidRPr="009A6BD2">
        <w:rPr>
          <w:rFonts w:ascii="Times New Roman" w:hAnsi="Times New Roman" w:cs="Times"/>
        </w:rPr>
        <w:t xml:space="preserve"> d'eux sera préposé à une catégorie spéciale de phéno</w:t>
      </w:r>
      <w:r w:rsidRPr="009A6BD2">
        <w:rPr>
          <w:rFonts w:ascii="Times" w:hAnsi="Times New Roman" w:cs="Times"/>
        </w:rPr>
        <w:softHyphen/>
      </w:r>
      <w:r w:rsidRPr="009A6BD2">
        <w:rPr>
          <w:rFonts w:ascii="Times New Roman" w:hAnsi="Times New Roman" w:cs="Times"/>
        </w:rPr>
        <w:t>mènes naturels, celui-ci à la mer, celui-là à l'atmosphère, un autre à la moisson ou aux fruits, etc., et chacune de ces provinces de la nature sera considérée comme tirant la vie qui est en elle du die</w:t>
      </w:r>
      <w:r w:rsidRPr="009A6BD2">
        <w:rPr>
          <w:rFonts w:ascii="Times New Roman" w:hAnsi="Times New Roman" w:cs="Times"/>
        </w:rPr>
        <w:t xml:space="preserve">u dont elle dépend. C'est précisément cette répartition de la nature entre les différentes divinités qui constitue la représentation que ces religions nous donnent de l'univers. Or, tant que l'humanité n'a pas dépassé la phase du totémisme, les différents </w:t>
      </w:r>
      <w:r w:rsidRPr="009A6BD2">
        <w:rPr>
          <w:rFonts w:ascii="Times New Roman" w:hAnsi="Times New Roman" w:cs="Times"/>
        </w:rPr>
        <w:t xml:space="preserve">totems de la tribu jouent exactement le rôle qui reviendra plus tard aux personnalités divines. Dans la tribu du Mont-Gambier, que nous avons prise pour principal exemple, il y a dix clans ; par suite, le monde entier est réparti en dix classes, ou plutôt </w:t>
      </w:r>
      <w:r w:rsidRPr="009A6BD2">
        <w:rPr>
          <w:rFonts w:ascii="Times New Roman" w:hAnsi="Times New Roman" w:cs="Times"/>
        </w:rPr>
        <w:t>en dix familles dont chacune a un totem spécial pour souche. C'est de cette souche que toutes les choses classées dans un clan tiennent leur réalité, puisqu'elles sont conçues comme des modes variés de l'être totémique; pour reprendre notre exemple, la plu</w:t>
      </w:r>
      <w:r w:rsidRPr="009A6BD2">
        <w:rPr>
          <w:rFonts w:ascii="Times New Roman" w:hAnsi="Times New Roman" w:cs="Times"/>
        </w:rPr>
        <w:t>ie, le tonnerre, l'éclair, les nuages, la grêle, l'hiver sont regardés comme des sortes différentes de corbeau. Réunies, ces dix familles de choses constituent une représentation complète et systématique du monde ; et cette représentation est religieuse, p</w:t>
      </w:r>
      <w:r w:rsidRPr="009A6BD2">
        <w:rPr>
          <w:rFonts w:ascii="Times New Roman" w:hAnsi="Times New Roman" w:cs="Times"/>
        </w:rPr>
        <w:t>uisque ce sont des notions religieuses qui en fournissent les principes. Loin d'être borné à une ou deux catégories d'êtres, le domaine de la religion totémique s'étend donc jusqu'aux dernières limites de l'univers connu. Tout comme la religion grecque, el</w:t>
      </w:r>
      <w:r w:rsidRPr="009A6BD2">
        <w:rPr>
          <w:rFonts w:ascii="Times New Roman" w:hAnsi="Times New Roman" w:cs="Times"/>
        </w:rPr>
        <w:t xml:space="preserve">le met du divin partout; la formule célèbre </w:t>
      </w:r>
      <w:r w:rsidRPr="009A6BD2">
        <w:rPr>
          <w:rFonts w:ascii="Times New Roman" w:hAnsi="Times New Roman" w:cs="Times"/>
          <w:i/>
          <w:iCs/>
        </w:rPr>
        <w:t>panta plèrè theôn</w:t>
      </w:r>
      <w:r w:rsidRPr="009A6BD2">
        <w:rPr>
          <w:rFonts w:ascii="Times New Roman" w:hAnsi="Times New Roman" w:cs="Times"/>
        </w:rPr>
        <w:t xml:space="preserve"> peut également lui servir de devise.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Seulement, pour pouvoir se représenter ainsi le totémisme, il faut modifier, sur un point essentiel, la notion qu'on s'en est longtemps faite. jusqu'aux déc</w:t>
      </w:r>
      <w:r w:rsidRPr="009A6BD2">
        <w:rPr>
          <w:rFonts w:ascii="Times New Roman" w:hAnsi="Times New Roman" w:cs="Times"/>
        </w:rPr>
        <w:t>ouvertes de ces dernières années, on le faisait consister tout entier dans le culte d'un totem particulier et on le définissait la religion du clan. De ce point de vue, il paraissait y avoir, dans une même tribu, autant de religions totémiques, indépendant</w:t>
      </w:r>
      <w:r w:rsidRPr="009A6BD2">
        <w:rPr>
          <w:rFonts w:ascii="Times New Roman" w:hAnsi="Times New Roman" w:cs="Times"/>
        </w:rPr>
        <w:t>es les unes des autres, qu'il s'y trouve de clans différents. Cette conception était, d'ailleurs, en harmonie avec l'idée qu'on se fait couramment du clan : on y voit, en effet, une société autonome </w:t>
      </w:r>
      <w:r w:rsidRPr="009A6BD2">
        <w:rPr>
          <w:rStyle w:val="Rimandonotaapidipagina"/>
          <w:rFonts w:ascii="Times" w:hAnsi="Times New Roman" w:cs="Times"/>
        </w:rPr>
        <w:footnoteReference w:id="270"/>
      </w:r>
      <w:r w:rsidRPr="009A6BD2">
        <w:rPr>
          <w:rFonts w:ascii="Times New Roman" w:hAnsi="Times New Roman" w:cs="Times"/>
        </w:rPr>
        <w:t>, plus ou moins fermée aux sociétés similaires ou n'ayan</w:t>
      </w:r>
      <w:r w:rsidRPr="009A6BD2">
        <w:rPr>
          <w:rFonts w:ascii="Times New Roman" w:hAnsi="Times New Roman" w:cs="Times"/>
        </w:rPr>
        <w:t xml:space="preserve">t avec ces dernières que des relations extérieures et superficielles. Mais la réalité est plus complexe. Sans doute, le culte de chaque totem a son foyer dans le clan correspondant ; c'est là et là seulement qu'il est célébré ; ce sont les membres du clan </w:t>
      </w:r>
      <w:r w:rsidRPr="009A6BD2">
        <w:rPr>
          <w:rFonts w:ascii="Times New Roman" w:hAnsi="Times New Roman" w:cs="Times"/>
        </w:rPr>
        <w:t>qui en ont la charge ; c'est par eux qu'il se transmet d'une génération à l'autre, ainsi que les croyances qui en sont la base. Mais d'un autre côté, les différents cultes totémiques qui sont ainsi pratiqués à l'intérieur d'une même tribu ne se développent</w:t>
      </w:r>
      <w:r w:rsidRPr="009A6BD2">
        <w:rPr>
          <w:rFonts w:ascii="Times New Roman" w:hAnsi="Times New Roman" w:cs="Times"/>
        </w:rPr>
        <w:t xml:space="preserve"> pas parallèlement et en s'ignorant les uns les autres, comme si chacun d'eux constituait une religion complète et qui se suffit à elle-même. Au contraire, ils s'impliquent mutuellement; ils ne sont que les parties d'un même tout, les éléments d'une même r</w:t>
      </w:r>
      <w:r w:rsidRPr="009A6BD2">
        <w:rPr>
          <w:rFonts w:ascii="Times New Roman" w:hAnsi="Times New Roman" w:cs="Times"/>
        </w:rPr>
        <w:t xml:space="preserve">eligion. Les hommes d'un clan ne considèrent nullement les croyances des clans voisins avec l'indifférence, le scepticisme ou l'hostilité qu'inspire ordinairement une religion à laquelle on est étranger ; ils partagent eux-mêmes ces croyances. Les gens du </w:t>
      </w:r>
      <w:r w:rsidRPr="009A6BD2">
        <w:rPr>
          <w:rFonts w:ascii="Times New Roman" w:hAnsi="Times New Roman" w:cs="Times"/>
        </w:rPr>
        <w:t>Corbeau Sont, eux aussi, convaincus que les gens du Serpent ont un serpent mythique pour ancêtre et doivent à cette origine des vertus spéciales et des pouvoirs merveilleux. N'avons-nous pas vu que, dans de certaines conditions tout au moins, un homme ne p</w:t>
      </w:r>
      <w:r w:rsidRPr="009A6BD2">
        <w:rPr>
          <w:rFonts w:ascii="Times New Roman" w:hAnsi="Times New Roman" w:cs="Times"/>
        </w:rPr>
        <w:t>eut manger d'un totem qui n'est pas le sien qu'après avoir observé des formalités rituelles ? Notamment, il en demande l'autorisation aux individus de ce totem s'il en est qui sont présents. C'est donc que, pour lui aussi, cet aliment n'est pas purement pr</w:t>
      </w:r>
      <w:r w:rsidRPr="009A6BD2">
        <w:rPr>
          <w:rFonts w:ascii="Times New Roman" w:hAnsi="Times New Roman" w:cs="Times"/>
        </w:rPr>
        <w:t>ofane ; lui aussi admet qu'entre les membres d'un clan dont il ne fait pas partie et l'animal dont ils portent le nom il existe d'intimes affinités. D'ailleurs, cette communauté de croyances se manifeste parfois dans le culte. Si, en principe, les rites qu</w:t>
      </w:r>
      <w:r w:rsidRPr="009A6BD2">
        <w:rPr>
          <w:rFonts w:ascii="Times New Roman" w:hAnsi="Times New Roman" w:cs="Times"/>
        </w:rPr>
        <w:t>i concernent un totem ne peuvent être accomplis que par les gens de ce totem, il est cependant très fréquent que des représentants de clans différents y assistent. Il arrive même que leur rôle n'est pas celui de simples spectateurs ; sans doute, ce ne sont</w:t>
      </w:r>
      <w:r w:rsidRPr="009A6BD2">
        <w:rPr>
          <w:rFonts w:ascii="Times New Roman" w:hAnsi="Times New Roman" w:cs="Times"/>
        </w:rPr>
        <w:t xml:space="preserve"> pas eux qui officient, mais ils décorent les officiants et préparent le service. Ils sont eux-mêmes intéressés à ce qu'il soit célébré ; c'est pourquoi, dans certaines tribus, ce sont eux qui invitent le clan qualifié à procéder à cette célébration </w:t>
      </w:r>
      <w:r w:rsidRPr="009A6BD2">
        <w:rPr>
          <w:rStyle w:val="Rimandonotaapidipagina"/>
          <w:rFonts w:ascii="Times" w:hAnsi="Times New Roman" w:cs="Times"/>
        </w:rPr>
        <w:footnoteReference w:id="271"/>
      </w:r>
      <w:r w:rsidRPr="009A6BD2">
        <w:rPr>
          <w:rFonts w:ascii="Times New Roman" w:hAnsi="Times New Roman" w:cs="Times"/>
        </w:rPr>
        <w:t xml:space="preserve">. Il </w:t>
      </w:r>
      <w:r w:rsidRPr="009A6BD2">
        <w:rPr>
          <w:rFonts w:ascii="Times New Roman" w:hAnsi="Times New Roman" w:cs="Times"/>
        </w:rPr>
        <w:t>y a même tout un cycle de rites qui se déroule obligatoirement en présence de la tribu assemblée : ce sont les cérémonies totémi</w:t>
      </w:r>
      <w:r w:rsidRPr="009A6BD2">
        <w:rPr>
          <w:rFonts w:ascii="Times" w:hAnsi="Times New Roman" w:cs="Times"/>
        </w:rPr>
        <w:softHyphen/>
      </w:r>
      <w:r w:rsidRPr="009A6BD2">
        <w:rPr>
          <w:rFonts w:ascii="Times New Roman" w:hAnsi="Times New Roman" w:cs="Times"/>
        </w:rPr>
        <w:t>ques de l'initiation </w:t>
      </w:r>
      <w:r w:rsidRPr="009A6BD2">
        <w:rPr>
          <w:rStyle w:val="Rimandonotaapidipagina"/>
          <w:rFonts w:ascii="Times" w:hAnsi="Times New Roman" w:cs="Times"/>
        </w:rPr>
        <w:footnoteReference w:id="27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Au reste, l'organisation totémique, telle que nous venons de la décrire, doit manifeste</w:t>
      </w:r>
      <w:r w:rsidRPr="009A6BD2">
        <w:rPr>
          <w:rFonts w:ascii="Times" w:hAnsi="Times New Roman" w:cs="Times"/>
        </w:rPr>
        <w:softHyphen/>
      </w:r>
      <w:r w:rsidRPr="009A6BD2">
        <w:rPr>
          <w:rFonts w:ascii="Times New Roman" w:hAnsi="Times New Roman" w:cs="Times"/>
        </w:rPr>
        <w:t xml:space="preserve">ment résulter </w:t>
      </w:r>
      <w:r w:rsidRPr="009A6BD2">
        <w:rPr>
          <w:rFonts w:ascii="Times New Roman" w:hAnsi="Times New Roman" w:cs="Times"/>
        </w:rPr>
        <w:t>d'une sorte d'entente entre tous les membres de la tribu indistinctement. Il est impossible que chaque clan se soit fait ses croyances d'une manière absolument indépen</w:t>
      </w:r>
      <w:r w:rsidRPr="009A6BD2">
        <w:rPr>
          <w:rFonts w:ascii="Times" w:hAnsi="Times New Roman" w:cs="Times"/>
        </w:rPr>
        <w:softHyphen/>
      </w:r>
      <w:r w:rsidRPr="009A6BD2">
        <w:rPr>
          <w:rFonts w:ascii="Times New Roman" w:hAnsi="Times New Roman" w:cs="Times"/>
        </w:rPr>
        <w:t>dante; mais il faut, de toute nécessité, que les cultes des différents totems aient été,</w:t>
      </w:r>
      <w:r w:rsidRPr="009A6BD2">
        <w:rPr>
          <w:rFonts w:ascii="Times New Roman" w:hAnsi="Times New Roman" w:cs="Times"/>
        </w:rPr>
        <w:t xml:space="preserve"> en quel</w:t>
      </w:r>
      <w:r w:rsidRPr="009A6BD2">
        <w:rPr>
          <w:rFonts w:ascii="Times" w:hAnsi="Times New Roman" w:cs="Times"/>
        </w:rPr>
        <w:softHyphen/>
      </w:r>
      <w:r w:rsidRPr="009A6BD2">
        <w:rPr>
          <w:rFonts w:ascii="Times New Roman" w:hAnsi="Times New Roman" w:cs="Times"/>
        </w:rPr>
        <w:t>que sorte, ajustés les uns aux autres puisqu'ils se complètent exactement. Nous avons vu, en effet, que, normalement, un même totem ne se répétait pas deux fois dans la même tribu et que l'univers entier était réparti entre les totems ainsi consti</w:t>
      </w:r>
      <w:r w:rsidRPr="009A6BD2">
        <w:rPr>
          <w:rFonts w:ascii="Times New Roman" w:hAnsi="Times New Roman" w:cs="Times"/>
        </w:rPr>
        <w:t xml:space="preserve">tués de manière à ce que le même objet ne se retrouve pas dans deux clans différents. Une répartition aussi méthodique n'aurait pu se faire sans un accord, tacite ou réfléchi, auquel toute la tribu a dû participer. L'ensemble de croyances qui a ainsi pris </w:t>
      </w:r>
      <w:r w:rsidRPr="009A6BD2">
        <w:rPr>
          <w:rFonts w:ascii="Times New Roman" w:hAnsi="Times New Roman" w:cs="Times"/>
        </w:rPr>
        <w:t>naissance est donc, en partie (mais en partie seulement), une chose tribale </w:t>
      </w:r>
      <w:r w:rsidRPr="009A6BD2">
        <w:rPr>
          <w:rStyle w:val="Rimandonotaapidipagina"/>
          <w:rFonts w:ascii="Times" w:hAnsi="Times New Roman" w:cs="Times"/>
        </w:rPr>
        <w:footnoteReference w:id="27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résumé, pour se faire une idée adéquate du totémisme, il ne faut pas s'enfermer dans les limites du clan, mais considérer la tribu dans sa totalité. Assurément, le culte par</w:t>
      </w:r>
      <w:r w:rsidRPr="009A6BD2">
        <w:rPr>
          <w:rFonts w:ascii="Times New Roman" w:hAnsi="Times New Roman" w:cs="Times"/>
        </w:rPr>
        <w:t>ticulier de chaque clan jouit d'une très grande autonomie : on peut même prévoir dès maintenant que c'est dans le clan que se trouve le ferment actif de la vie religieuse. Mais d'un autre côté, tous ces cultes sont solidaires les uns des autres et la relig</w:t>
      </w:r>
      <w:r w:rsidRPr="009A6BD2">
        <w:rPr>
          <w:rFonts w:ascii="Times New Roman" w:hAnsi="Times New Roman" w:cs="Times"/>
        </w:rPr>
        <w:t>ion totémique est le système complexe formé par leur réunion, tout comme le polythéisme grec était constitué par la réunion de tous les cultes particuliers qui s'adressaient aux différentes divinités. Nous venons de montrer qu'ainsi entendu le totémisme, l</w:t>
      </w:r>
      <w:r w:rsidRPr="009A6BD2">
        <w:rPr>
          <w:rFonts w:ascii="Times New Roman" w:hAnsi="Times New Roman" w:cs="Times"/>
        </w:rPr>
        <w:t>ui aussi, a sa cosmologie.</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19" w:name="livre_2_chap_4"/>
      <w:r w:rsidRPr="009A6BD2">
        <w:rPr>
          <w:rFonts w:ascii="Times New Roman" w:hAnsi="Times New Roman"/>
        </w:rPr>
        <w:t>CHAPITRE IV</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LES CROYANCES PROPREMENT TOTÉMIQUES</w:t>
      </w:r>
    </w:p>
    <w:bookmarkEnd w:id="19"/>
    <w:p w:rsidR="009A6BD2" w:rsidRPr="009A6BD2" w:rsidRDefault="003E2D0F">
      <w:pPr>
        <w:jc w:val="center"/>
        <w:rPr>
          <w:rFonts w:ascii="Times New Roman" w:hAnsi="Times New Roman" w:cs="Times"/>
        </w:rPr>
      </w:pPr>
    </w:p>
    <w:p w:rsidR="009A6BD2" w:rsidRPr="009A6BD2" w:rsidRDefault="003E2D0F">
      <w:pPr>
        <w:pStyle w:val="suite"/>
        <w:rPr>
          <w:rFonts w:ascii="Times New Roman" w:hAnsi="Times New Roman"/>
        </w:rPr>
      </w:pPr>
      <w:r w:rsidRPr="009A6BD2">
        <w:rPr>
          <w:rFonts w:ascii="Times New Roman" w:hAnsi="Times New Roman"/>
        </w:rPr>
        <w:t>(Fin)</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Niveau10"/>
        <w:rPr>
          <w:rFonts w:ascii="Times New Roman" w:hAnsi="Times New Roman"/>
        </w:rPr>
      </w:pPr>
      <w:bookmarkStart w:id="20" w:name="livre_2_chap_4_totem_individuel"/>
      <w:r w:rsidRPr="009A6BD2">
        <w:rPr>
          <w:rFonts w:ascii="Times New Roman" w:hAnsi="Times New Roman"/>
        </w:rPr>
        <w:t>IV. - Le totem individuel et le totem sexuel</w:t>
      </w:r>
    </w:p>
    <w:bookmarkEnd w:id="20"/>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Dans ce qui précède, nous n'avons étudié le totémisme que comme une institution publique : les seuls totems dont il ai</w:t>
      </w:r>
      <w:r w:rsidRPr="009A6BD2">
        <w:rPr>
          <w:rFonts w:ascii="Times New Roman" w:hAnsi="Times New Roman" w:cs="Times"/>
        </w:rPr>
        <w:t>t été jusqu'à présent question étaient la chose commune d'un clan, d'une phratrie ou, en un sens, de la tribu </w:t>
      </w:r>
      <w:r w:rsidRPr="009A6BD2">
        <w:rPr>
          <w:rStyle w:val="Rimandonotaapidipagina"/>
          <w:rFonts w:ascii="Times" w:hAnsi="Times New Roman" w:cs="Times"/>
        </w:rPr>
        <w:footnoteReference w:id="274"/>
      </w:r>
      <w:r w:rsidRPr="009A6BD2">
        <w:rPr>
          <w:rFonts w:ascii="Times New Roman" w:hAnsi="Times New Roman" w:cs="Times"/>
        </w:rPr>
        <w:t>; l'individu n'y avait part que Comme membre du groupe. Mais nous savons qu'il n'y a pas de religion qui n'ait un aspect individuel. Cette observ</w:t>
      </w:r>
      <w:r w:rsidRPr="009A6BD2">
        <w:rPr>
          <w:rFonts w:ascii="Times New Roman" w:hAnsi="Times New Roman" w:cs="Times"/>
        </w:rPr>
        <w:t>ation générale s'applique au totémisme. A côté des totems impersonnels et collectifs qui sont au premier plan, il en est d'autres qui sont propres à chaque individu, qui expriment sa personnalité et dont il célèbre le culte en son particulier.</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1" w:name="livre_2_chap_4_1"/>
      <w:r w:rsidRPr="009A6BD2">
        <w:rPr>
          <w:rFonts w:ascii="Times New Roman" w:hAnsi="Times New Roman"/>
        </w:rPr>
        <w:t>I</w:t>
      </w:r>
    </w:p>
    <w:bookmarkEnd w:id="21"/>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w:instrText>
      </w:r>
      <w:r w:rsidRPr="009A6BD2">
        <w:rPr>
          <w:rFonts w:ascii="Times New Roman" w:hAnsi="Times New Roman" w:cs="Times"/>
          <w:sz w:val="20"/>
          <w:szCs w:val="20"/>
          <w:effect w:val="none"/>
        </w:rPr>
        <w:instrText xml:space="preserve">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Dans quelques tribus australiennes et dans la plupart des sociétés indiennes de l'Amérique du Nord </w:t>
      </w:r>
      <w:r w:rsidRPr="009A6BD2">
        <w:rPr>
          <w:rStyle w:val="Rimandonotaapidipagina"/>
          <w:rFonts w:ascii="Times" w:hAnsi="Times New Roman" w:cs="Times"/>
        </w:rPr>
        <w:footnoteReference w:id="275"/>
      </w:r>
      <w:r w:rsidRPr="009A6BD2">
        <w:rPr>
          <w:rFonts w:ascii="Times New Roman" w:hAnsi="Times New Roman" w:cs="Times"/>
        </w:rPr>
        <w:t>, chaque individu soutient personnellement avec une chose déterminée un rapport comparable à celui que chaque clan soutient</w:t>
      </w:r>
      <w:r w:rsidRPr="009A6BD2">
        <w:rPr>
          <w:rFonts w:ascii="Times New Roman" w:hAnsi="Times New Roman" w:cs="Times"/>
        </w:rPr>
        <w:t xml:space="preserve"> avec son totem. Cette chose est parfois un être ina</w:t>
      </w:r>
      <w:r w:rsidRPr="009A6BD2">
        <w:rPr>
          <w:rFonts w:ascii="Times" w:hAnsi="Times New Roman" w:cs="Times"/>
        </w:rPr>
        <w:softHyphen/>
      </w:r>
      <w:r w:rsidRPr="009A6BD2">
        <w:rPr>
          <w:rFonts w:ascii="Times New Roman" w:hAnsi="Times New Roman" w:cs="Times"/>
        </w:rPr>
        <w:t>nimé ou un objet artificiel; mais c'est très généralement un animal. Dans certains cas, une portion restreinte de l'organisme, comme la tête, les pieds, le foie, remplit le même office </w:t>
      </w:r>
      <w:r w:rsidRPr="009A6BD2">
        <w:rPr>
          <w:rStyle w:val="Rimandonotaapidipagina"/>
          <w:rFonts w:ascii="Times" w:hAnsi="Times New Roman" w:cs="Times"/>
        </w:rPr>
        <w:footnoteReference w:id="276"/>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nom de la c</w:t>
      </w:r>
      <w:r w:rsidRPr="009A6BD2">
        <w:rPr>
          <w:rFonts w:ascii="Times New Roman" w:hAnsi="Times New Roman" w:cs="Times"/>
        </w:rPr>
        <w:t xml:space="preserve">hose sert aussi de nom à l'individu. C'est son nom personnel, son prénom qui s'ajoute au totem collectif, comme le </w:t>
      </w:r>
      <w:r w:rsidRPr="009A6BD2">
        <w:rPr>
          <w:rFonts w:ascii="Times New Roman" w:hAnsi="Times New Roman" w:cs="Times"/>
          <w:i/>
          <w:iCs/>
        </w:rPr>
        <w:t xml:space="preserve">praenomen </w:t>
      </w:r>
      <w:r w:rsidRPr="009A6BD2">
        <w:rPr>
          <w:rFonts w:ascii="Times New Roman" w:hAnsi="Times New Roman" w:cs="Times"/>
        </w:rPr>
        <w:t xml:space="preserve">des Romains au </w:t>
      </w:r>
      <w:r w:rsidRPr="009A6BD2">
        <w:rPr>
          <w:rFonts w:ascii="Times New Roman" w:hAnsi="Times New Roman" w:cs="Times"/>
          <w:i/>
          <w:iCs/>
        </w:rPr>
        <w:t xml:space="preserve">nomen gentilicium. </w:t>
      </w:r>
      <w:r w:rsidRPr="009A6BD2">
        <w:rPr>
          <w:rFonts w:ascii="Times New Roman" w:hAnsi="Times New Roman" w:cs="Times"/>
        </w:rPr>
        <w:t>Le fait, il est vrai, ne nous est affirmé que d'un certain nombre de sociétés </w:t>
      </w:r>
      <w:r w:rsidRPr="009A6BD2">
        <w:rPr>
          <w:rStyle w:val="Rimandonotaapidipagina"/>
          <w:rFonts w:ascii="Times" w:hAnsi="Times New Roman" w:cs="Times"/>
        </w:rPr>
        <w:footnoteReference w:id="277"/>
      </w:r>
      <w:r w:rsidRPr="009A6BD2">
        <w:rPr>
          <w:rFonts w:ascii="Times New Roman" w:hAnsi="Times New Roman" w:cs="Times"/>
        </w:rPr>
        <w:t xml:space="preserve"> ; mais il est pro</w:t>
      </w:r>
      <w:r w:rsidRPr="009A6BD2">
        <w:rPr>
          <w:rFonts w:ascii="Times New Roman" w:hAnsi="Times New Roman" w:cs="Times"/>
        </w:rPr>
        <w:t>ba</w:t>
      </w:r>
      <w:r w:rsidRPr="009A6BD2">
        <w:rPr>
          <w:rFonts w:ascii="Times" w:hAnsi="Times New Roman" w:cs="Times"/>
        </w:rPr>
        <w:softHyphen/>
      </w:r>
      <w:r w:rsidRPr="009A6BD2">
        <w:rPr>
          <w:rFonts w:ascii="Times New Roman" w:hAnsi="Times New Roman" w:cs="Times"/>
        </w:rPr>
        <w:t>ble</w:t>
      </w:r>
      <w:r w:rsidRPr="009A6BD2">
        <w:rPr>
          <w:rFonts w:ascii="Times" w:hAnsi="Times New Roman" w:cs="Times"/>
        </w:rPr>
        <w:softHyphen/>
      </w:r>
      <w:r w:rsidRPr="009A6BD2">
        <w:rPr>
          <w:rFonts w:ascii="Times New Roman" w:hAnsi="Times New Roman" w:cs="Times"/>
        </w:rPr>
        <w:t>ment général. Nous montrerons, en effet, tout à l'heure, qu'il y a identité de nature entre la chose et l'individu ; or, l'identité de nature implique celle du nom. Conféré au cours de cérémonies religieuses tout particulièrement importantes, ce pré</w:t>
      </w:r>
      <w:r w:rsidRPr="009A6BD2">
        <w:rPr>
          <w:rFonts w:ascii="Times New Roman" w:hAnsi="Times New Roman" w:cs="Times"/>
        </w:rPr>
        <w:t>nom possède un caractère sacré. On ne le prononce pas dans les circonstances ordinaires de la vie profane. Il arrive même que le mot de la langue usuelle qui sert à désigner la chose est plus ou moins modifié pour pouvoir servir à cet emploi particulier </w:t>
      </w:r>
      <w:r w:rsidRPr="009A6BD2">
        <w:rPr>
          <w:rStyle w:val="Rimandonotaapidipagina"/>
          <w:rFonts w:ascii="Times" w:hAnsi="Times New Roman" w:cs="Times"/>
        </w:rPr>
        <w:footnoteReference w:id="278"/>
      </w:r>
      <w:r w:rsidRPr="009A6BD2">
        <w:rPr>
          <w:rFonts w:ascii="Times New Roman" w:hAnsi="Times New Roman" w:cs="Times"/>
        </w:rPr>
        <w:t>.</w:t>
      </w:r>
      <w:r w:rsidRPr="009A6BD2">
        <w:rPr>
          <w:rFonts w:ascii="Times New Roman" w:hAnsi="Times New Roman" w:cs="Times"/>
        </w:rPr>
        <w:t xml:space="preserve"> C'est que les termes de la langue usuelle sont exclus de la vie religieuse.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Au moins dans les tribus américaines, ce nom est doublé d'un emblème qui appartient à chaque individu et qui, sous des formes diverses, représente la chose que ce nom désigne. Ch</w:t>
      </w:r>
      <w:r w:rsidRPr="009A6BD2">
        <w:rPr>
          <w:rFonts w:ascii="Times New Roman" w:hAnsi="Times New Roman" w:cs="Times"/>
        </w:rPr>
        <w:t>aque Mandan, par exemple, porte la peau de l'animal dont il est l'homonyme </w:t>
      </w:r>
      <w:r w:rsidRPr="009A6BD2">
        <w:rPr>
          <w:rStyle w:val="Rimandonotaapidipagina"/>
          <w:rFonts w:ascii="Times" w:hAnsi="Times New Roman" w:cs="Times"/>
        </w:rPr>
        <w:footnoteReference w:id="279"/>
      </w:r>
      <w:r w:rsidRPr="009A6BD2">
        <w:rPr>
          <w:rFonts w:ascii="Times New Roman" w:hAnsi="Times New Roman" w:cs="Times"/>
        </w:rPr>
        <w:t>. Si c'est un oiseau, on se pare de ses plumes </w:t>
      </w:r>
      <w:r w:rsidRPr="009A6BD2">
        <w:rPr>
          <w:rStyle w:val="Rimandonotaapidipagina"/>
          <w:rFonts w:ascii="Times" w:hAnsi="Times New Roman" w:cs="Times"/>
        </w:rPr>
        <w:footnoteReference w:id="280"/>
      </w:r>
      <w:r w:rsidRPr="009A6BD2">
        <w:rPr>
          <w:rFonts w:ascii="Times New Roman" w:hAnsi="Times New Roman" w:cs="Times"/>
        </w:rPr>
        <w:t>. Les Hurons, les Algonkins s'en tatouaient l'image sur le corps </w:t>
      </w:r>
      <w:r w:rsidRPr="009A6BD2">
        <w:rPr>
          <w:rStyle w:val="Rimandonotaapidipagina"/>
          <w:rFonts w:ascii="Times" w:hAnsi="Times New Roman" w:cs="Times"/>
        </w:rPr>
        <w:footnoteReference w:id="281"/>
      </w:r>
      <w:r w:rsidRPr="009A6BD2">
        <w:rPr>
          <w:rFonts w:ascii="Times New Roman" w:hAnsi="Times New Roman" w:cs="Times"/>
        </w:rPr>
        <w:t>. On le représente sur les armes </w:t>
      </w:r>
      <w:r w:rsidRPr="009A6BD2">
        <w:rPr>
          <w:rStyle w:val="Rimandonotaapidipagina"/>
          <w:rFonts w:ascii="Times" w:hAnsi="Times New Roman" w:cs="Times"/>
        </w:rPr>
        <w:footnoteReference w:id="282"/>
      </w:r>
      <w:r w:rsidRPr="009A6BD2">
        <w:rPr>
          <w:rFonts w:ascii="Times New Roman" w:hAnsi="Times New Roman" w:cs="Times"/>
        </w:rPr>
        <w:t>. Dans les tribus du Nord-Ouest,</w:t>
      </w:r>
      <w:r w:rsidRPr="009A6BD2">
        <w:rPr>
          <w:rFonts w:ascii="Times New Roman" w:hAnsi="Times New Roman" w:cs="Times"/>
        </w:rPr>
        <w:t xml:space="preserve"> l'emblème individuel est gravé on sculpté, tout comme l'emblème collectif du clan, sur les ustensiles, sur les maisons </w:t>
      </w:r>
      <w:r w:rsidRPr="009A6BD2">
        <w:rPr>
          <w:rStyle w:val="Rimandonotaapidipagina"/>
          <w:rFonts w:ascii="Times" w:hAnsi="Times New Roman" w:cs="Times"/>
        </w:rPr>
        <w:footnoteReference w:id="283"/>
      </w:r>
      <w:r w:rsidRPr="009A6BD2">
        <w:rPr>
          <w:rFonts w:ascii="Times New Roman" w:hAnsi="Times New Roman" w:cs="Times"/>
        </w:rPr>
        <w:t>, etc. ; le premier sert de marque de propriété personnelle </w:t>
      </w:r>
      <w:r w:rsidRPr="009A6BD2">
        <w:rPr>
          <w:rStyle w:val="Rimandonotaapidipagina"/>
          <w:rFonts w:ascii="Times" w:hAnsi="Times New Roman" w:cs="Times"/>
        </w:rPr>
        <w:footnoteReference w:id="284"/>
      </w:r>
      <w:r w:rsidRPr="009A6BD2">
        <w:rPr>
          <w:rFonts w:ascii="Times New Roman" w:hAnsi="Times New Roman" w:cs="Times"/>
        </w:rPr>
        <w:t>. Souvent, les deux blasons sont combinés ensemble; c'est ce qui explique,</w:t>
      </w:r>
      <w:r w:rsidRPr="009A6BD2">
        <w:rPr>
          <w:rFonts w:ascii="Times New Roman" w:hAnsi="Times New Roman" w:cs="Times"/>
        </w:rPr>
        <w:t xml:space="preserve"> en partie, la grande diversité d'aspects que présentent, chez ces peuples, les écussons totémiques </w:t>
      </w:r>
      <w:r w:rsidRPr="009A6BD2">
        <w:rPr>
          <w:rStyle w:val="Rimandonotaapidipagina"/>
          <w:rFonts w:ascii="Times" w:hAnsi="Times New Roman" w:cs="Times"/>
        </w:rPr>
        <w:footnoteReference w:id="28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Entre l'individu et son animal éponyme existent les liens les plus étroits. L'homme participe de la nature de l'animal ; il en a les qualités, comme, d'</w:t>
      </w:r>
      <w:r w:rsidRPr="009A6BD2">
        <w:rPr>
          <w:rFonts w:ascii="Times New Roman" w:hAnsi="Times New Roman" w:cs="Times"/>
        </w:rPr>
        <w:t>ailleurs, les défauts. Par exemple, quelqu'un qui a l'aigle pour blason individuel est censé posséder le don de voir dans l'avenir; s'il porte le nom de l'ours, on dit qu'il est exposé à être blessé dans les combats, parce que l'ours est lent et lourd et q</w:t>
      </w:r>
      <w:r w:rsidRPr="009A6BD2">
        <w:rPr>
          <w:rFonts w:ascii="Times New Roman" w:hAnsi="Times New Roman" w:cs="Times"/>
        </w:rPr>
        <w:t>u'il se laisse facilement attraper </w:t>
      </w:r>
      <w:r w:rsidRPr="009A6BD2">
        <w:rPr>
          <w:rStyle w:val="Rimandonotaapidipagina"/>
          <w:rFonts w:ascii="Times" w:hAnsi="Times New Roman" w:cs="Times"/>
        </w:rPr>
        <w:footnoteReference w:id="286"/>
      </w:r>
      <w:r w:rsidRPr="009A6BD2">
        <w:rPr>
          <w:rFonts w:ascii="Times New Roman" w:hAnsi="Times New Roman" w:cs="Times"/>
        </w:rPr>
        <w:t xml:space="preserve"> ; si l'animal est mépri</w:t>
      </w:r>
      <w:r w:rsidRPr="009A6BD2">
        <w:rPr>
          <w:rFonts w:ascii="Times" w:hAnsi="Times New Roman" w:cs="Times"/>
        </w:rPr>
        <w:softHyphen/>
      </w:r>
      <w:r w:rsidRPr="009A6BD2">
        <w:rPr>
          <w:rFonts w:ascii="Times New Roman" w:hAnsi="Times New Roman" w:cs="Times"/>
        </w:rPr>
        <w:t>sé, l'homme est l'objet du même mépris </w:t>
      </w:r>
      <w:r w:rsidRPr="009A6BD2">
        <w:rPr>
          <w:rStyle w:val="Rimandonotaapidipagina"/>
          <w:rFonts w:ascii="Times" w:hAnsi="Times New Roman" w:cs="Times"/>
        </w:rPr>
        <w:footnoteReference w:id="287"/>
      </w:r>
      <w:r w:rsidRPr="009A6BD2">
        <w:rPr>
          <w:rFonts w:ascii="Times New Roman" w:hAnsi="Times New Roman" w:cs="Times"/>
        </w:rPr>
        <w:t>. La parenté des deux êtres est même telle que, dans certaines circonstances, notamment en cas de danger, l'homme, croit-on, peut prendre la forme de l'ani</w:t>
      </w:r>
      <w:r w:rsidRPr="009A6BD2">
        <w:rPr>
          <w:rFonts w:ascii="Times New Roman" w:hAnsi="Times New Roman" w:cs="Times"/>
        </w:rPr>
        <w:t>mal </w:t>
      </w:r>
      <w:r w:rsidRPr="009A6BD2">
        <w:rPr>
          <w:rStyle w:val="Rimandonotaapidipagina"/>
          <w:rFonts w:ascii="Times" w:hAnsi="Times New Roman" w:cs="Times"/>
        </w:rPr>
        <w:footnoteReference w:id="288"/>
      </w:r>
      <w:r w:rsidRPr="009A6BD2">
        <w:rPr>
          <w:rFonts w:ascii="Times New Roman" w:hAnsi="Times New Roman" w:cs="Times"/>
        </w:rPr>
        <w:t xml:space="preserve">. Inversement, l'animal est considéré comme un double de l'homme, comme son </w:t>
      </w:r>
      <w:r w:rsidRPr="009A6BD2">
        <w:rPr>
          <w:rFonts w:ascii="Times New Roman" w:hAnsi="Times New Roman" w:cs="Times"/>
          <w:i/>
          <w:iCs/>
        </w:rPr>
        <w:t>aller ego</w:t>
      </w:r>
      <w:r w:rsidRPr="009A6BD2">
        <w:rPr>
          <w:rFonts w:ascii="Times New Roman" w:hAnsi="Times New Roman" w:cs="Times"/>
        </w:rPr>
        <w:t> </w:t>
      </w:r>
      <w:r w:rsidRPr="009A6BD2">
        <w:rPr>
          <w:rStyle w:val="Rimandonotaapidipagina"/>
          <w:rFonts w:ascii="Times" w:hAnsi="Times New Roman" w:cs="Times"/>
        </w:rPr>
        <w:footnoteReference w:id="289"/>
      </w:r>
      <w:r w:rsidRPr="009A6BD2">
        <w:rPr>
          <w:rFonts w:ascii="Times New Roman" w:hAnsi="Times New Roman" w:cs="Times"/>
          <w:i/>
          <w:iCs/>
        </w:rPr>
        <w:t xml:space="preserve">. </w:t>
      </w:r>
      <w:r w:rsidRPr="009A6BD2">
        <w:rPr>
          <w:rFonts w:ascii="Times New Roman" w:hAnsi="Times New Roman" w:cs="Times"/>
        </w:rPr>
        <w:t xml:space="preserve">L'association entre eux est si étroite que leurs destinées sont souvent considérées comme solidaires : rien ne peut atteindre l'un sans que l'autre n'en ressente </w:t>
      </w:r>
      <w:r w:rsidRPr="009A6BD2">
        <w:rPr>
          <w:rFonts w:ascii="Times New Roman" w:hAnsi="Times New Roman" w:cs="Times"/>
        </w:rPr>
        <w:t>le contre coup </w:t>
      </w:r>
      <w:r w:rsidRPr="009A6BD2">
        <w:rPr>
          <w:rStyle w:val="Rimandonotaapidipagina"/>
          <w:rFonts w:ascii="Times" w:hAnsi="Times New Roman" w:cs="Times"/>
        </w:rPr>
        <w:footnoteReference w:id="290"/>
      </w:r>
      <w:r w:rsidRPr="009A6BD2">
        <w:rPr>
          <w:rFonts w:ascii="Times New Roman" w:hAnsi="Times New Roman" w:cs="Times"/>
        </w:rPr>
        <w:t>. Si l'animal meurt, la vie de l'homme est menacée. Aussi est-ce une règle très générale que l'on ne doit pas tuer l'animal ni surtout en manger la chair. L'interdiction qui, quand il s'agit du totem de clan, comporte toute sorte d'atténuat</w:t>
      </w:r>
      <w:r w:rsidRPr="009A6BD2">
        <w:rPr>
          <w:rFonts w:ascii="Times New Roman" w:hAnsi="Times New Roman" w:cs="Times"/>
        </w:rPr>
        <w:t>ions et de tempéraments, est ici beaucoup plus formelle et absolue </w:t>
      </w:r>
      <w:r w:rsidRPr="009A6BD2">
        <w:rPr>
          <w:rStyle w:val="Rimandonotaapidipagina"/>
          <w:rFonts w:ascii="Times" w:hAnsi="Times New Roman" w:cs="Times"/>
        </w:rPr>
        <w:footnoteReference w:id="29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 son côté, l'animal protège l'homme et lui sert, en quelque sorte, de patron. Il l'avertit des dangers possibles et des moyens d'y échapper </w:t>
      </w:r>
      <w:r w:rsidRPr="009A6BD2">
        <w:rPr>
          <w:rStyle w:val="Rimandonotaapidipagina"/>
          <w:rFonts w:ascii="Times" w:hAnsi="Times New Roman" w:cs="Times"/>
        </w:rPr>
        <w:footnoteReference w:id="292"/>
      </w:r>
      <w:r w:rsidRPr="009A6BD2">
        <w:rPr>
          <w:rFonts w:ascii="Times New Roman" w:hAnsi="Times New Roman" w:cs="Times"/>
        </w:rPr>
        <w:t>; on dit qu'il est son ami </w:t>
      </w:r>
      <w:r w:rsidRPr="009A6BD2">
        <w:rPr>
          <w:rStyle w:val="Rimandonotaapidipagina"/>
          <w:rFonts w:ascii="Times" w:hAnsi="Times New Roman" w:cs="Times"/>
        </w:rPr>
        <w:footnoteReference w:id="293"/>
      </w:r>
      <w:r w:rsidRPr="009A6BD2">
        <w:rPr>
          <w:rFonts w:ascii="Times New Roman" w:hAnsi="Times New Roman" w:cs="Times"/>
        </w:rPr>
        <w:t xml:space="preserve">. Même, comme </w:t>
      </w:r>
      <w:r w:rsidRPr="009A6BD2">
        <w:rPr>
          <w:rFonts w:ascii="Times New Roman" w:hAnsi="Times New Roman" w:cs="Times"/>
        </w:rPr>
        <w:t>il passe souvent pour posséder des pouvoirs merveilleux, il les communique à son associé humain. Celui-ci se croit à l'épreuve des balles, des flèches, des coups de toute sorte </w:t>
      </w:r>
      <w:r w:rsidRPr="009A6BD2">
        <w:rPr>
          <w:rStyle w:val="Rimandonotaapidipagina"/>
          <w:rFonts w:ascii="Times" w:hAnsi="Times New Roman" w:cs="Times"/>
        </w:rPr>
        <w:footnoteReference w:id="294"/>
      </w:r>
      <w:r w:rsidRPr="009A6BD2">
        <w:rPr>
          <w:rFonts w:ascii="Times New Roman" w:hAnsi="Times New Roman" w:cs="Times"/>
        </w:rPr>
        <w:t>. La confiance qu'a l'individu dans l'efficacité de son protecteur est même te</w:t>
      </w:r>
      <w:r w:rsidRPr="009A6BD2">
        <w:rPr>
          <w:rFonts w:ascii="Times New Roman" w:hAnsi="Times New Roman" w:cs="Times"/>
        </w:rPr>
        <w:t>lle qu'il brave les plus grands dangers et accomplit des prouesses déconcertantes avec une sereine intrépidité : la foi lui donne le courage et la force nécessaires </w:t>
      </w:r>
      <w:r w:rsidRPr="009A6BD2">
        <w:rPr>
          <w:rStyle w:val="Rimandonotaapidipagina"/>
          <w:rFonts w:ascii="Times" w:hAnsi="Times New Roman" w:cs="Times"/>
        </w:rPr>
        <w:footnoteReference w:id="295"/>
      </w:r>
      <w:r w:rsidRPr="009A6BD2">
        <w:rPr>
          <w:rFonts w:ascii="Times New Roman" w:hAnsi="Times New Roman" w:cs="Times"/>
        </w:rPr>
        <w:t>. Toutefois, les relations de l'homme avec son pa</w:t>
      </w:r>
      <w:r w:rsidRPr="009A6BD2">
        <w:rPr>
          <w:rFonts w:ascii="Times" w:hAnsi="Times New Roman" w:cs="Times"/>
        </w:rPr>
        <w:softHyphen/>
      </w:r>
      <w:r w:rsidRPr="009A6BD2">
        <w:rPr>
          <w:rFonts w:ascii="Times New Roman" w:hAnsi="Times New Roman" w:cs="Times"/>
        </w:rPr>
        <w:t>tron ne sont pas de pure et simple dépen</w:t>
      </w:r>
      <w:r w:rsidRPr="009A6BD2">
        <w:rPr>
          <w:rFonts w:ascii="Times New Roman" w:hAnsi="Times New Roman" w:cs="Times"/>
        </w:rPr>
        <w:t>dance. L'individu, de son côté, peut agir sur l'animal. Il lui donne des ordres ; il a prise sur lui. Un Kurnai qui a le requin pour ami et allié, croit pouvoir, au moyen d'une incantation, disperser les requins qui menacent un bateau </w:t>
      </w:r>
      <w:r w:rsidRPr="009A6BD2">
        <w:rPr>
          <w:rStyle w:val="Rimandonotaapidipagina"/>
          <w:rFonts w:ascii="Times" w:hAnsi="Times New Roman" w:cs="Times"/>
        </w:rPr>
        <w:footnoteReference w:id="296"/>
      </w:r>
      <w:r w:rsidRPr="009A6BD2">
        <w:rPr>
          <w:rFonts w:ascii="Times New Roman" w:hAnsi="Times New Roman" w:cs="Times"/>
        </w:rPr>
        <w:t>. Dans d'autres cas,</w:t>
      </w:r>
      <w:r w:rsidRPr="009A6BD2">
        <w:rPr>
          <w:rFonts w:ascii="Times New Roman" w:hAnsi="Times New Roman" w:cs="Times"/>
        </w:rPr>
        <w:t xml:space="preserve"> le lien ainsi contracté passe pour conférer à l'homme une aptitude particulière à chasser l'animal avec succès </w:t>
      </w:r>
      <w:r w:rsidRPr="009A6BD2">
        <w:rPr>
          <w:rStyle w:val="Rimandonotaapidipagina"/>
          <w:rFonts w:ascii="Times" w:hAnsi="Times New Roman" w:cs="Times"/>
        </w:rPr>
        <w:footnoteReference w:id="29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La nature même de ces relations paraît bien impliquer que l'être auquel chaque individu se trouve ainsi associé ne peut être lui-même qu'un </w:t>
      </w:r>
      <w:r w:rsidRPr="009A6BD2">
        <w:rPr>
          <w:rFonts w:ascii="Times New Roman" w:hAnsi="Times New Roman" w:cs="Times"/>
        </w:rPr>
        <w:t xml:space="preserve">individu, et non une classe. On n'a pas une espèce pour </w:t>
      </w:r>
      <w:r w:rsidRPr="009A6BD2">
        <w:rPr>
          <w:rFonts w:ascii="Times New Roman" w:hAnsi="Times New Roman" w:cs="Times"/>
          <w:i/>
          <w:iCs/>
        </w:rPr>
        <w:t xml:space="preserve">alter ego. </w:t>
      </w:r>
      <w:r w:rsidRPr="009A6BD2">
        <w:rPr>
          <w:rFonts w:ascii="Times New Roman" w:hAnsi="Times New Roman" w:cs="Times"/>
        </w:rPr>
        <w:t>En fait, il est des cas où c'est bien certainement tel arbre, tel rocher, telle pierre déterminée qui joue ce rôle </w:t>
      </w:r>
      <w:r w:rsidRPr="009A6BD2">
        <w:rPr>
          <w:rStyle w:val="Rimandonotaapidipagina"/>
          <w:rFonts w:ascii="Times" w:hAnsi="Times New Roman" w:cs="Times"/>
        </w:rPr>
        <w:footnoteReference w:id="298"/>
      </w:r>
      <w:r w:rsidRPr="009A6BD2">
        <w:rPr>
          <w:rFonts w:ascii="Times New Roman" w:hAnsi="Times New Roman" w:cs="Times"/>
        </w:rPr>
        <w:t>. Il en est forcément ainsi toutes les fois où c'est un animal et où l'ex</w:t>
      </w:r>
      <w:r w:rsidRPr="009A6BD2">
        <w:rPr>
          <w:rFonts w:ascii="Times New Roman" w:hAnsi="Times New Roman" w:cs="Times"/>
        </w:rPr>
        <w:t>istence de cet animal et celle de l'homme sont considérées comme solidaires. On ne saurait être uni par une solidarité de ce genre à une espèce tout entière, car il n'y a pas de jour ni, pour ainsi dire, d'instant où cette espèce ne perde quelqu'un d'entre</w:t>
      </w:r>
      <w:r w:rsidRPr="009A6BD2">
        <w:rPr>
          <w:rFonts w:ascii="Times New Roman" w:hAnsi="Times New Roman" w:cs="Times"/>
        </w:rPr>
        <w:t xml:space="preserve"> ses membres. Toutefois, il y a chez le primitif une certaine incapacité à penser l'individu sépa</w:t>
      </w:r>
      <w:r w:rsidRPr="009A6BD2">
        <w:rPr>
          <w:rFonts w:ascii="Times" w:hAnsi="Times New Roman" w:cs="Times"/>
        </w:rPr>
        <w:softHyphen/>
      </w:r>
      <w:r w:rsidRPr="009A6BD2">
        <w:rPr>
          <w:rFonts w:ascii="Times New Roman" w:hAnsi="Times New Roman" w:cs="Times"/>
        </w:rPr>
        <w:t>rément de l'espèce; le lien qui l'unit à l'un s'étend tout naturellement à l'autre ; il les confond dans le même sentiment. C'est ainsi que l'espèce tout enti</w:t>
      </w:r>
      <w:r w:rsidRPr="009A6BD2">
        <w:rPr>
          <w:rFonts w:ascii="Times New Roman" w:hAnsi="Times New Roman" w:cs="Times"/>
        </w:rPr>
        <w:t>ère lui est sacrée </w:t>
      </w:r>
      <w:r w:rsidRPr="009A6BD2">
        <w:rPr>
          <w:rStyle w:val="Rimandonotaapidipagina"/>
          <w:rFonts w:ascii="Times" w:hAnsi="Times New Roman" w:cs="Times"/>
        </w:rPr>
        <w:footnoteReference w:id="29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Cet être protecteur est naturellement appelé de noms différents suivant les sociétés : n</w:t>
      </w:r>
      <w:r w:rsidRPr="009A6BD2">
        <w:rPr>
          <w:rFonts w:ascii="Times New Roman" w:hAnsi="Times New Roman" w:cs="Times"/>
          <w:i/>
          <w:iCs/>
        </w:rPr>
        <w:t xml:space="preserve">agual, </w:t>
      </w:r>
      <w:r w:rsidRPr="009A6BD2">
        <w:rPr>
          <w:rFonts w:ascii="Times New Roman" w:hAnsi="Times New Roman" w:cs="Times"/>
        </w:rPr>
        <w:t>chez les Indiens du Mexique </w:t>
      </w:r>
      <w:r w:rsidRPr="009A6BD2">
        <w:rPr>
          <w:rStyle w:val="Rimandonotaapidipagina"/>
          <w:rFonts w:ascii="Times" w:hAnsi="Times New Roman" w:cs="Times"/>
        </w:rPr>
        <w:footnoteReference w:id="300"/>
      </w:r>
      <w:r w:rsidRPr="009A6BD2">
        <w:rPr>
          <w:rFonts w:ascii="Times New Roman" w:hAnsi="Times New Roman" w:cs="Times"/>
        </w:rPr>
        <w:t xml:space="preserve">, </w:t>
      </w:r>
      <w:r w:rsidRPr="009A6BD2">
        <w:rPr>
          <w:rFonts w:ascii="Times New Roman" w:hAnsi="Times New Roman" w:cs="Times"/>
          <w:i/>
          <w:iCs/>
        </w:rPr>
        <w:t xml:space="preserve">manitou </w:t>
      </w:r>
      <w:r w:rsidRPr="009A6BD2">
        <w:rPr>
          <w:rFonts w:ascii="Times New Roman" w:hAnsi="Times New Roman" w:cs="Times"/>
        </w:rPr>
        <w:t xml:space="preserve">chez les Algonkins, et </w:t>
      </w:r>
      <w:r w:rsidRPr="009A6BD2">
        <w:rPr>
          <w:rFonts w:ascii="Times New Roman" w:hAnsi="Times New Roman" w:cs="Times"/>
          <w:i/>
          <w:iCs/>
        </w:rPr>
        <w:t xml:space="preserve">okki </w:t>
      </w:r>
      <w:r w:rsidRPr="009A6BD2">
        <w:rPr>
          <w:rFonts w:ascii="Times New Roman" w:hAnsi="Times New Roman" w:cs="Times"/>
        </w:rPr>
        <w:t>chez les Hurons </w:t>
      </w:r>
      <w:r w:rsidRPr="009A6BD2">
        <w:rPr>
          <w:rStyle w:val="Rimandonotaapidipagina"/>
          <w:rFonts w:ascii="Times" w:hAnsi="Times New Roman" w:cs="Times"/>
        </w:rPr>
        <w:footnoteReference w:id="301"/>
      </w:r>
      <w:r w:rsidRPr="009A6BD2">
        <w:rPr>
          <w:rFonts w:ascii="Times New Roman" w:hAnsi="Times New Roman" w:cs="Times"/>
        </w:rPr>
        <w:t xml:space="preserve">, </w:t>
      </w:r>
      <w:r w:rsidRPr="009A6BD2">
        <w:rPr>
          <w:rFonts w:ascii="Times New Roman" w:hAnsi="Times New Roman" w:cs="Times"/>
          <w:i/>
          <w:iCs/>
        </w:rPr>
        <w:t xml:space="preserve">snam </w:t>
      </w:r>
      <w:r w:rsidRPr="009A6BD2">
        <w:rPr>
          <w:rFonts w:ascii="Times New Roman" w:hAnsi="Times New Roman" w:cs="Times"/>
        </w:rPr>
        <w:t>chez certains Salish </w:t>
      </w:r>
      <w:r w:rsidRPr="009A6BD2">
        <w:rPr>
          <w:rStyle w:val="Rimandonotaapidipagina"/>
          <w:rFonts w:ascii="Times" w:hAnsi="Times New Roman" w:cs="Times"/>
        </w:rPr>
        <w:footnoteReference w:id="302"/>
      </w:r>
      <w:r w:rsidRPr="009A6BD2">
        <w:rPr>
          <w:rFonts w:ascii="Times New Roman" w:hAnsi="Times New Roman" w:cs="Times"/>
        </w:rPr>
        <w:t xml:space="preserve">, </w:t>
      </w:r>
      <w:r w:rsidRPr="009A6BD2">
        <w:rPr>
          <w:rFonts w:ascii="Times New Roman" w:hAnsi="Times New Roman" w:cs="Times"/>
          <w:i/>
          <w:iCs/>
        </w:rPr>
        <w:t xml:space="preserve">sulia </w:t>
      </w:r>
      <w:r w:rsidRPr="009A6BD2">
        <w:rPr>
          <w:rFonts w:ascii="Times New Roman" w:hAnsi="Times New Roman" w:cs="Times"/>
        </w:rPr>
        <w:t>chez d'autres </w:t>
      </w:r>
      <w:r w:rsidRPr="009A6BD2">
        <w:rPr>
          <w:rStyle w:val="Rimandonotaapidipagina"/>
          <w:rFonts w:ascii="Times" w:hAnsi="Times New Roman" w:cs="Times"/>
        </w:rPr>
        <w:footnoteReference w:id="303"/>
      </w:r>
      <w:r w:rsidRPr="009A6BD2">
        <w:rPr>
          <w:rFonts w:ascii="Times New Roman" w:hAnsi="Times New Roman" w:cs="Times"/>
        </w:rPr>
        <w:t xml:space="preserve">, </w:t>
      </w:r>
      <w:r w:rsidRPr="009A6BD2">
        <w:rPr>
          <w:rFonts w:ascii="Times New Roman" w:hAnsi="Times New Roman" w:cs="Times"/>
          <w:i/>
          <w:iCs/>
        </w:rPr>
        <w:t xml:space="preserve">budjan, </w:t>
      </w:r>
      <w:r w:rsidRPr="009A6BD2">
        <w:rPr>
          <w:rFonts w:ascii="Times New Roman" w:hAnsi="Times New Roman" w:cs="Times"/>
        </w:rPr>
        <w:t>chez les Yuin </w:t>
      </w:r>
      <w:r w:rsidRPr="009A6BD2">
        <w:rPr>
          <w:rStyle w:val="Rimandonotaapidipagina"/>
          <w:rFonts w:ascii="Times" w:hAnsi="Times New Roman" w:cs="Times"/>
        </w:rPr>
        <w:footnoteReference w:id="304"/>
      </w:r>
      <w:r w:rsidRPr="009A6BD2">
        <w:rPr>
          <w:rFonts w:ascii="Times New Roman" w:hAnsi="Times New Roman" w:cs="Times"/>
        </w:rPr>
        <w:t xml:space="preserve">, </w:t>
      </w:r>
      <w:r w:rsidRPr="009A6BD2">
        <w:rPr>
          <w:rFonts w:ascii="Times New Roman" w:hAnsi="Times New Roman" w:cs="Times"/>
          <w:i/>
          <w:iCs/>
        </w:rPr>
        <w:t xml:space="preserve">yumbeai, </w:t>
      </w:r>
      <w:r w:rsidRPr="009A6BD2">
        <w:rPr>
          <w:rFonts w:ascii="Times New Roman" w:hAnsi="Times New Roman" w:cs="Times"/>
        </w:rPr>
        <w:t>chez les Euahlayi </w:t>
      </w:r>
      <w:r w:rsidRPr="009A6BD2">
        <w:rPr>
          <w:rStyle w:val="Rimandonotaapidipagina"/>
          <w:rFonts w:ascii="Times" w:hAnsi="Times New Roman" w:cs="Times"/>
        </w:rPr>
        <w:footnoteReference w:id="305"/>
      </w:r>
      <w:r w:rsidRPr="009A6BD2">
        <w:rPr>
          <w:rFonts w:ascii="Times New Roman" w:hAnsi="Times New Roman" w:cs="Times"/>
        </w:rPr>
        <w:t xml:space="preserve">, etc. A cause de l'importance qu'ont ces croyances et ces pratiques chez les Indiens de l'Amérique du Nord, on a proposé de créer le mot de </w:t>
      </w:r>
      <w:r w:rsidRPr="009A6BD2">
        <w:rPr>
          <w:rFonts w:ascii="Times New Roman" w:hAnsi="Times New Roman" w:cs="Times"/>
          <w:i/>
          <w:iCs/>
        </w:rPr>
        <w:t xml:space="preserve">nagualisme ou manitouisme </w:t>
      </w:r>
      <w:r w:rsidRPr="009A6BD2">
        <w:rPr>
          <w:rFonts w:ascii="Times New Roman" w:hAnsi="Times New Roman" w:cs="Times"/>
        </w:rPr>
        <w:t>pour les désigner </w:t>
      </w:r>
      <w:r w:rsidRPr="009A6BD2">
        <w:rPr>
          <w:rStyle w:val="Rimandonotaapidipagina"/>
          <w:rFonts w:ascii="Times" w:hAnsi="Times New Roman" w:cs="Times"/>
        </w:rPr>
        <w:footnoteReference w:id="306"/>
      </w:r>
      <w:r w:rsidRPr="009A6BD2">
        <w:rPr>
          <w:rFonts w:ascii="Times New Roman" w:hAnsi="Times New Roman" w:cs="Times"/>
        </w:rPr>
        <w:t>. Mais en leur do</w:t>
      </w:r>
      <w:r w:rsidRPr="009A6BD2">
        <w:rPr>
          <w:rFonts w:ascii="Times New Roman" w:hAnsi="Times New Roman" w:cs="Times"/>
        </w:rPr>
        <w:t xml:space="preserve">nnant un nom spécial et distinctif, on s'expose à méconnaître leur rapport avec le totémisme. Ce sont, en effet, les mêmes principes qui sont appliqués ici au clan, là à l'individu. De part et d'autres, c'est la même croyance qu'il existe des liens vitaux </w:t>
      </w:r>
      <w:r w:rsidRPr="009A6BD2">
        <w:rPr>
          <w:rFonts w:ascii="Times New Roman" w:hAnsi="Times New Roman" w:cs="Times"/>
        </w:rPr>
        <w:t xml:space="preserve">entre les choses et les hommes et que les premières sont douées de pouvoirs spéciaux dont profitent leurs alliés humains. C'est aussi le même usage de donner à l'homme le nom de la chose à laquelle il est associé et d'ajouter à ce nom un emblème. Le totem </w:t>
      </w:r>
      <w:r w:rsidRPr="009A6BD2">
        <w:rPr>
          <w:rFonts w:ascii="Times New Roman" w:hAnsi="Times New Roman" w:cs="Times"/>
        </w:rPr>
        <w:t>est le patron du clan, comme le patron de l'individu sert à ce dernier de totem person</w:t>
      </w:r>
      <w:r w:rsidRPr="009A6BD2">
        <w:rPr>
          <w:rFonts w:ascii="Times" w:hAnsi="Times New Roman" w:cs="Times"/>
        </w:rPr>
        <w:softHyphen/>
      </w:r>
      <w:r w:rsidRPr="009A6BD2">
        <w:rPr>
          <w:rFonts w:ascii="Times New Roman" w:hAnsi="Times New Roman" w:cs="Times"/>
        </w:rPr>
        <w:t>nel. Il y a donc intérêt à ce que la terminologie rende sensible cette parenté des deux systè</w:t>
      </w:r>
      <w:r w:rsidRPr="009A6BD2">
        <w:rPr>
          <w:rFonts w:ascii="Times" w:hAnsi="Times New Roman" w:cs="Times"/>
        </w:rPr>
        <w:softHyphen/>
      </w:r>
      <w:r w:rsidRPr="009A6BD2">
        <w:rPr>
          <w:rFonts w:ascii="Times New Roman" w:hAnsi="Times New Roman" w:cs="Times"/>
        </w:rPr>
        <w:t xml:space="preserve">mes ; c'est pourquoi, avec Frazer, nous appellerons </w:t>
      </w:r>
      <w:r w:rsidRPr="009A6BD2">
        <w:rPr>
          <w:rFonts w:ascii="Times New Roman" w:hAnsi="Times New Roman" w:cs="Times"/>
          <w:i/>
          <w:iCs/>
        </w:rPr>
        <w:t xml:space="preserve">totémisme individuel </w:t>
      </w:r>
      <w:r w:rsidRPr="009A6BD2">
        <w:rPr>
          <w:rFonts w:ascii="Times New Roman" w:hAnsi="Times New Roman" w:cs="Times"/>
        </w:rPr>
        <w:t>le</w:t>
      </w:r>
      <w:r w:rsidRPr="009A6BD2">
        <w:rPr>
          <w:rFonts w:ascii="Times New Roman" w:hAnsi="Times New Roman" w:cs="Times"/>
        </w:rPr>
        <w:t xml:space="preserve"> culte que chaque individu rend à son patron. Cette expression est d'autant plus justifiée que, dans certains cas, le primitif lui-même se sert du même mot pour désigner le totem du clan et l'animal protecteur de l'individu </w:t>
      </w:r>
      <w:r w:rsidRPr="009A6BD2">
        <w:rPr>
          <w:rStyle w:val="Rimandonotaapidipagina"/>
          <w:rFonts w:ascii="Times" w:hAnsi="Times New Roman" w:cs="Times"/>
        </w:rPr>
        <w:footnoteReference w:id="307"/>
      </w:r>
      <w:r w:rsidRPr="009A6BD2">
        <w:rPr>
          <w:rFonts w:ascii="Times New Roman" w:hAnsi="Times New Roman" w:cs="Times"/>
        </w:rPr>
        <w:t>. Si Tylor et Powell ont repous</w:t>
      </w:r>
      <w:r w:rsidRPr="009A6BD2">
        <w:rPr>
          <w:rFonts w:ascii="Times New Roman" w:hAnsi="Times New Roman" w:cs="Times"/>
        </w:rPr>
        <w:t>sé cette dénomination et réclamé des termes différents pour ces deux sortes d'institutions religieuses, c'est que, suivant eux, le totem collectif n'est qu'un nom, une étiquette commune, sans caractères religieux </w:t>
      </w:r>
      <w:r w:rsidRPr="009A6BD2">
        <w:rPr>
          <w:rStyle w:val="Rimandonotaapidipagina"/>
          <w:rFonts w:ascii="Times" w:hAnsi="Times New Roman" w:cs="Times"/>
        </w:rPr>
        <w:footnoteReference w:id="308"/>
      </w:r>
      <w:r w:rsidRPr="009A6BD2">
        <w:rPr>
          <w:rFonts w:ascii="Times New Roman" w:hAnsi="Times New Roman" w:cs="Times"/>
        </w:rPr>
        <w:t>. Mais nous savons, au contraire, qu'il es</w:t>
      </w:r>
      <w:r w:rsidRPr="009A6BD2">
        <w:rPr>
          <w:rFonts w:ascii="Times New Roman" w:hAnsi="Times New Roman" w:cs="Times"/>
        </w:rPr>
        <w:t>t une chose sacrée, et même à un plus haut degré que l'animal protecteur. La suite de cette étude montrera, d'ailleurs, combien ces deux sortes de totémisme sont inséparables l'une de l'autre </w:t>
      </w:r>
      <w:r w:rsidRPr="009A6BD2">
        <w:rPr>
          <w:rStyle w:val="Rimandonotaapidipagina"/>
          <w:rFonts w:ascii="Times" w:hAnsi="Times New Roman" w:cs="Times"/>
        </w:rPr>
        <w:footnoteReference w:id="30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Toutefois, si grande que soit la parenté de ces deux institu</w:t>
      </w:r>
      <w:r w:rsidRPr="009A6BD2">
        <w:rPr>
          <w:rFonts w:ascii="Times New Roman" w:hAnsi="Times New Roman" w:cs="Times"/>
        </w:rPr>
        <w:t>tions, il y a entre elles des différences importantes. Alors que le clan se considère comme issu de l'animal ou de la plan</w:t>
      </w:r>
      <w:r w:rsidRPr="009A6BD2">
        <w:rPr>
          <w:rFonts w:ascii="Times" w:hAnsi="Times New Roman" w:cs="Times"/>
        </w:rPr>
        <w:softHyphen/>
      </w:r>
      <w:r w:rsidRPr="009A6BD2">
        <w:rPr>
          <w:rFonts w:ascii="Times New Roman" w:hAnsi="Times New Roman" w:cs="Times"/>
        </w:rPr>
        <w:t>te qui lui sert de totem, l'individu ne croit soutenir aucun rapport de descendance avec son totem personnel. C'est un ami, un associ</w:t>
      </w:r>
      <w:r w:rsidRPr="009A6BD2">
        <w:rPr>
          <w:rFonts w:ascii="Times New Roman" w:hAnsi="Times New Roman" w:cs="Times"/>
        </w:rPr>
        <w:t>é, un protecteur; ce n'est pas un parent. On pro</w:t>
      </w:r>
      <w:r w:rsidRPr="009A6BD2">
        <w:rPr>
          <w:rFonts w:ascii="Times" w:hAnsi="Times New Roman" w:cs="Times"/>
        </w:rPr>
        <w:softHyphen/>
      </w:r>
      <w:r w:rsidRPr="009A6BD2">
        <w:rPr>
          <w:rFonts w:ascii="Times New Roman" w:hAnsi="Times New Roman" w:cs="Times"/>
        </w:rPr>
        <w:t>fite des vertus qu'il est censé posséder ; mais on n'est pas du même sang. En second lieu, les membres d'un clan permettent aux clans voisins de manger de l'animal dont ils portent collec</w:t>
      </w:r>
      <w:r w:rsidRPr="009A6BD2">
        <w:rPr>
          <w:rFonts w:ascii="Times" w:hAnsi="Times New Roman" w:cs="Times"/>
        </w:rPr>
        <w:softHyphen/>
      </w:r>
      <w:r w:rsidRPr="009A6BD2">
        <w:rPr>
          <w:rFonts w:ascii="Times New Roman" w:hAnsi="Times New Roman" w:cs="Times"/>
        </w:rPr>
        <w:t>t</w:t>
      </w:r>
      <w:r w:rsidRPr="009A6BD2">
        <w:rPr>
          <w:rFonts w:ascii="Times" w:hAnsi="Times New Roman" w:cs="Times"/>
        </w:rPr>
        <w:softHyphen/>
      </w:r>
      <w:r w:rsidRPr="009A6BD2">
        <w:rPr>
          <w:rFonts w:ascii="Times New Roman" w:hAnsi="Times New Roman" w:cs="Times"/>
        </w:rPr>
        <w:t>i</w:t>
      </w:r>
      <w:r w:rsidRPr="009A6BD2">
        <w:rPr>
          <w:rFonts w:ascii="Times" w:hAnsi="Times New Roman" w:cs="Times"/>
        </w:rPr>
        <w:softHyphen/>
      </w:r>
      <w:r w:rsidRPr="009A6BD2">
        <w:rPr>
          <w:rFonts w:ascii="Times New Roman" w:hAnsi="Times New Roman" w:cs="Times"/>
        </w:rPr>
        <w:t>ve</w:t>
      </w:r>
      <w:r w:rsidRPr="009A6BD2">
        <w:rPr>
          <w:rFonts w:ascii="Times" w:hAnsi="Times New Roman" w:cs="Times"/>
        </w:rPr>
        <w:softHyphen/>
      </w:r>
      <w:r w:rsidRPr="009A6BD2">
        <w:rPr>
          <w:rFonts w:ascii="Times New Roman" w:hAnsi="Times New Roman" w:cs="Times"/>
        </w:rPr>
        <w:t>ment le nom,</w:t>
      </w:r>
      <w:r w:rsidRPr="009A6BD2">
        <w:rPr>
          <w:rFonts w:ascii="Times New Roman" w:hAnsi="Times New Roman" w:cs="Times"/>
        </w:rPr>
        <w:t xml:space="preserve"> sous la seule condition que les formalités nécessaires soient observées. Au contraire, non seulement l'individu respecte l'espèce à laquelle appartient son totem personnel, mais encore il s'efforce de la protéger contre les étrangers, partout du moins où </w:t>
      </w:r>
      <w:r w:rsidRPr="009A6BD2">
        <w:rPr>
          <w:rFonts w:ascii="Times New Roman" w:hAnsi="Times New Roman" w:cs="Times"/>
        </w:rPr>
        <w:t>la destinée de l'homme et celle de l'animal passent pour être connexes.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ces deux sortes de totems diffèrent surtout par la manière dont ils sont acquis.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totem collectif fait partie du statut légal de chaque individu : il est généralement hérédita</w:t>
      </w:r>
      <w:r w:rsidRPr="009A6BD2">
        <w:rPr>
          <w:rFonts w:ascii="Times New Roman" w:hAnsi="Times New Roman" w:cs="Times"/>
        </w:rPr>
        <w:t>ire ; en tout cas, c'est la naissance qui le désigne sans que la volonté des hommes y soit pour rien. Tantôt l'enfant a le totem de sa mère (Kamilaroi, Dieri, Urabunna, etc.) ; tantôt celui de son père (Narrinyeri, Warramunga, etc.) ; tantôt enfin celui qu</w:t>
      </w:r>
      <w:r w:rsidRPr="009A6BD2">
        <w:rPr>
          <w:rFonts w:ascii="Times New Roman" w:hAnsi="Times New Roman" w:cs="Times"/>
        </w:rPr>
        <w:t>i prédomine à l'endroit où sa mère a conçu (Arunta, Loritja). Au contraire, le totem individuel est acquis par un acte délibéré </w:t>
      </w:r>
      <w:r w:rsidRPr="009A6BD2">
        <w:rPr>
          <w:rStyle w:val="Rimandonotaapidipagina"/>
          <w:rFonts w:ascii="Times" w:hAnsi="Times New Roman" w:cs="Times"/>
        </w:rPr>
        <w:footnoteReference w:id="310"/>
      </w:r>
      <w:r w:rsidRPr="009A6BD2">
        <w:rPr>
          <w:rFonts w:ascii="Times New Roman" w:hAnsi="Times New Roman" w:cs="Times"/>
        </w:rPr>
        <w:t xml:space="preserve"> : toute une série d'opérations rituelles est nécessaire pour le déterminer. La méthode la plus généralement employée chez les </w:t>
      </w:r>
      <w:r w:rsidRPr="009A6BD2">
        <w:rPr>
          <w:rFonts w:ascii="Times New Roman" w:hAnsi="Times New Roman" w:cs="Times"/>
        </w:rPr>
        <w:t>Indiens d'Amérique est la suivante. Vers l'époque de la puberté, quand approche le moment de l'initiation, le jeune homme se retire dans un endroit écarté, par exemple dans une forêt. Là, pendant une période de temps qui varie de quelques jours à plusieurs</w:t>
      </w:r>
      <w:r w:rsidRPr="009A6BD2">
        <w:rPr>
          <w:rFonts w:ascii="Times New Roman" w:hAnsi="Times New Roman" w:cs="Times"/>
        </w:rPr>
        <w:t xml:space="preserve"> années, il se soumet à toute sorte d'exercices épuisants et contre nature. Il jeûne, il se mortifie, il s'inflige diverses mutilations. Tantôt il erre en poussant des cris violents, de véritables hurlements; tantôt il reste étendu sur le sol, immobile et </w:t>
      </w:r>
      <w:r w:rsidRPr="009A6BD2">
        <w:rPr>
          <w:rFonts w:ascii="Times New Roman" w:hAnsi="Times New Roman" w:cs="Times"/>
        </w:rPr>
        <w:t>se lamentant. Parfois il danse, il prie, il invoque ses divinités ordinaires. Il finit ainsi par se mettre dans un état d'intense surexcitation tout proche du délire. Quand il est parvenu à ce paroxysme, ses représentations prennent facilement un caractère</w:t>
      </w:r>
      <w:r w:rsidRPr="009A6BD2">
        <w:rPr>
          <w:rFonts w:ascii="Times New Roman" w:hAnsi="Times New Roman" w:cs="Times"/>
        </w:rPr>
        <w:t xml:space="preserve"> hallucinatoire. « Quand, dit Heckewelder, un garçon est à la veille d'être initié, il est soumis à un régime alternatif de jeûne et de traitement médical ; il s'abstient de toute nourriture, il avale les drogues les plus énergiques et les plus répugnantes</w:t>
      </w:r>
      <w:r w:rsidRPr="009A6BD2">
        <w:rPr>
          <w:rFonts w:ascii="Times New Roman" w:hAnsi="Times New Roman" w:cs="Times"/>
        </w:rPr>
        <w:t xml:space="preserve"> : à l'occasion, il boit des décoctions intoxicantes jusqu'à ce que son esprit soit dans un véritable état d'égarement. A ce moment, il a ou croit avoir des visions, des rêves extraordinaires auxquels tout cet entraînement l'a naturellement prédisposé. Il </w:t>
      </w:r>
      <w:r w:rsidRPr="009A6BD2">
        <w:rPr>
          <w:rFonts w:ascii="Times New Roman" w:hAnsi="Times New Roman" w:cs="Times"/>
        </w:rPr>
        <w:t>s'imagine voler à travers les airs, cheminer sous le sol, sauter d'un sommet à l'autre par-dessus les vallées, combattre et dompter des géants et des monstres </w:t>
      </w:r>
      <w:r w:rsidRPr="009A6BD2">
        <w:rPr>
          <w:rStyle w:val="Rimandonotaapidipagina"/>
          <w:rFonts w:ascii="Times" w:hAnsi="Times New Roman" w:cs="Times"/>
        </w:rPr>
        <w:footnoteReference w:id="311"/>
      </w:r>
      <w:r w:rsidRPr="009A6BD2">
        <w:rPr>
          <w:rFonts w:ascii="Times New Roman" w:hAnsi="Times New Roman" w:cs="Times"/>
        </w:rPr>
        <w:t>. » Dans ces conditions, qu'il voie ou, ce qui revient au même, qu'il croie voir, en rêve ou à l</w:t>
      </w:r>
      <w:r w:rsidRPr="009A6BD2">
        <w:rPr>
          <w:rFonts w:ascii="Times New Roman" w:hAnsi="Times New Roman" w:cs="Times"/>
        </w:rPr>
        <w:t>'état de veille, un animal se présenter à lui dans une attitude qui lui paraît démonstrative d'intentions amicales, il s'imaginera avoir découvert le patron qu'il attendait </w:t>
      </w:r>
      <w:r w:rsidRPr="009A6BD2">
        <w:rPr>
          <w:rStyle w:val="Rimandonotaapidipagina"/>
          <w:rFonts w:ascii="Times" w:hAnsi="Times New Roman" w:cs="Times"/>
        </w:rPr>
        <w:footnoteReference w:id="31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Cependant, cette procédure est rarement employée en Australie </w:t>
      </w:r>
      <w:r w:rsidRPr="009A6BD2">
        <w:rPr>
          <w:rStyle w:val="Rimandonotaapidipagina"/>
          <w:rFonts w:ascii="Times" w:hAnsi="Times New Roman" w:cs="Times"/>
        </w:rPr>
        <w:footnoteReference w:id="313"/>
      </w:r>
      <w:r w:rsidRPr="009A6BD2">
        <w:rPr>
          <w:rFonts w:ascii="Times New Roman" w:hAnsi="Times New Roman" w:cs="Times"/>
        </w:rPr>
        <w:t>. Sur ce contine</w:t>
      </w:r>
      <w:r w:rsidRPr="009A6BD2">
        <w:rPr>
          <w:rFonts w:ascii="Times New Roman" w:hAnsi="Times New Roman" w:cs="Times"/>
        </w:rPr>
        <w:t>nt, le totem personnel paraît plutôt être imposé par un tiers soit à la naissance </w:t>
      </w:r>
      <w:r w:rsidRPr="009A6BD2">
        <w:rPr>
          <w:rStyle w:val="Rimandonotaapidipagina"/>
          <w:rFonts w:ascii="Times" w:hAnsi="Times New Roman" w:cs="Times"/>
        </w:rPr>
        <w:footnoteReference w:id="314"/>
      </w:r>
      <w:r w:rsidRPr="009A6BD2">
        <w:rPr>
          <w:rFonts w:ascii="Times New Roman" w:hAnsi="Times New Roman" w:cs="Times"/>
        </w:rPr>
        <w:t>, soit au moment de l'initiation </w:t>
      </w:r>
      <w:r w:rsidRPr="009A6BD2">
        <w:rPr>
          <w:rStyle w:val="Rimandonotaapidipagina"/>
          <w:rFonts w:ascii="Times" w:hAnsi="Times New Roman" w:cs="Times"/>
        </w:rPr>
        <w:footnoteReference w:id="315"/>
      </w:r>
      <w:r w:rsidRPr="009A6BD2">
        <w:rPr>
          <w:rFonts w:ascii="Times New Roman" w:hAnsi="Times New Roman" w:cs="Times"/>
        </w:rPr>
        <w:t>. C'est généralement un parent qui joue ce rôle, ou un personnage investi de pou</w:t>
      </w:r>
      <w:r w:rsidRPr="009A6BD2">
        <w:rPr>
          <w:rFonts w:ascii="Times" w:hAnsi="Times New Roman" w:cs="Times"/>
        </w:rPr>
        <w:softHyphen/>
      </w:r>
      <w:r w:rsidRPr="009A6BD2">
        <w:rPr>
          <w:rFonts w:ascii="Times New Roman" w:hAnsi="Times New Roman" w:cs="Times"/>
        </w:rPr>
        <w:t xml:space="preserve">voirs spéciaux, tel qu'un vieillard ou un magicien. On se </w:t>
      </w:r>
      <w:r w:rsidRPr="009A6BD2">
        <w:rPr>
          <w:rFonts w:ascii="Times New Roman" w:hAnsi="Times New Roman" w:cs="Times"/>
        </w:rPr>
        <w:t>sert parfois, dans ce but, de procé</w:t>
      </w:r>
      <w:r w:rsidRPr="009A6BD2">
        <w:rPr>
          <w:rFonts w:ascii="Times" w:hAnsi="Times New Roman" w:cs="Times"/>
        </w:rPr>
        <w:softHyphen/>
      </w:r>
      <w:r w:rsidRPr="009A6BD2">
        <w:rPr>
          <w:rFonts w:ascii="Times New Roman" w:hAnsi="Times New Roman" w:cs="Times"/>
        </w:rPr>
        <w:t xml:space="preserve">dés divinatoires. Par exemple, à la baie Charlotte, au cap Bedford, sur la rivière Proserpine, la grand'mère ou d'autres vieilles femmes prennent une petite portion du cordon ombilical à laquelle le placenta est attaché </w:t>
      </w:r>
      <w:r w:rsidRPr="009A6BD2">
        <w:rPr>
          <w:rFonts w:ascii="Times New Roman" w:hAnsi="Times New Roman" w:cs="Times"/>
        </w:rPr>
        <w:t>et font tourner le tout assez violemment. Pendant ce temps, d'autres vieilles femmes, assises en cercle, proposent successivement différents noms. On adopte celui qui est prononcé juste au moment où le cordon se brise </w:t>
      </w:r>
      <w:r w:rsidRPr="009A6BD2">
        <w:rPr>
          <w:rStyle w:val="Rimandonotaapidipagina"/>
          <w:rFonts w:ascii="Times" w:hAnsi="Times New Roman" w:cs="Times"/>
        </w:rPr>
        <w:footnoteReference w:id="316"/>
      </w:r>
      <w:r w:rsidRPr="009A6BD2">
        <w:rPr>
          <w:rFonts w:ascii="Times New Roman" w:hAnsi="Times New Roman" w:cs="Times"/>
        </w:rPr>
        <w:t>. Chez les Varraikanna du cap York, a</w:t>
      </w:r>
      <w:r w:rsidRPr="009A6BD2">
        <w:rPr>
          <w:rFonts w:ascii="Times New Roman" w:hAnsi="Times New Roman" w:cs="Times"/>
        </w:rPr>
        <w:t>près que la dent a été arrachée au jeune initié, on lui donne un peu d'eau pour se rincer la bouche et on l'invite à cracher dans un baquet rempli d'eau. Les vieillards examinent avec soin l'espèce de caillot formé de sang et de salive qui est ainsi rejeté</w:t>
      </w:r>
      <w:r w:rsidRPr="009A6BD2">
        <w:rPr>
          <w:rFonts w:ascii="Times New Roman" w:hAnsi="Times New Roman" w:cs="Times"/>
        </w:rPr>
        <w:t>, et l'objet naturel dont il rappelle la forme devient le totem personnel du jeune homme </w:t>
      </w:r>
      <w:r w:rsidRPr="009A6BD2">
        <w:rPr>
          <w:rStyle w:val="Rimandonotaapidipagina"/>
          <w:rFonts w:ascii="Times" w:hAnsi="Times New Roman" w:cs="Times"/>
        </w:rPr>
        <w:footnoteReference w:id="317"/>
      </w:r>
      <w:r w:rsidRPr="009A6BD2">
        <w:rPr>
          <w:rFonts w:ascii="Times New Roman" w:hAnsi="Times New Roman" w:cs="Times"/>
        </w:rPr>
        <w:t>. Dans d'autres cas, le totem est directement transmis d'un individu à un autre par exemple du père au fils, de l'oncle au neveu </w:t>
      </w:r>
      <w:r w:rsidRPr="009A6BD2">
        <w:rPr>
          <w:rStyle w:val="Rimandonotaapidipagina"/>
          <w:rFonts w:ascii="Times" w:hAnsi="Times New Roman" w:cs="Times"/>
        </w:rPr>
        <w:footnoteReference w:id="318"/>
      </w:r>
      <w:r w:rsidRPr="009A6BD2">
        <w:rPr>
          <w:rFonts w:ascii="Times New Roman" w:hAnsi="Times New Roman" w:cs="Times"/>
        </w:rPr>
        <w:t>. Ce procédé est également employé e</w:t>
      </w:r>
      <w:r w:rsidRPr="009A6BD2">
        <w:rPr>
          <w:rFonts w:ascii="Times New Roman" w:hAnsi="Times New Roman" w:cs="Times"/>
        </w:rPr>
        <w:t>n Amérique. Dans un exemple que rapporte Hill Tout, l'opérateur était un shamane </w:t>
      </w:r>
      <w:r w:rsidRPr="009A6BD2">
        <w:rPr>
          <w:rStyle w:val="Rimandonotaapidipagina"/>
          <w:rFonts w:ascii="Times" w:hAnsi="Times New Roman" w:cs="Times"/>
        </w:rPr>
        <w:footnoteReference w:id="319"/>
      </w:r>
      <w:r w:rsidRPr="009A6BD2">
        <w:rPr>
          <w:rFonts w:ascii="Times New Roman" w:hAnsi="Times New Roman" w:cs="Times"/>
        </w:rPr>
        <w:t xml:space="preserve"> qui voulait transmettre son totem à son neveu. « L'oncle prit l'emblème symbolique de son </w:t>
      </w:r>
      <w:r w:rsidRPr="009A6BD2">
        <w:rPr>
          <w:rFonts w:ascii="Times New Roman" w:hAnsi="Times New Roman" w:cs="Times"/>
          <w:i/>
          <w:iCs/>
        </w:rPr>
        <w:t xml:space="preserve">snam </w:t>
      </w:r>
      <w:r w:rsidRPr="009A6BD2">
        <w:rPr>
          <w:rFonts w:ascii="Times New Roman" w:hAnsi="Times New Roman" w:cs="Times"/>
        </w:rPr>
        <w:t>(totem personnel) ; c'était, en l'espèce, la peau desséchée d'un oiseau. Il in</w:t>
      </w:r>
      <w:r w:rsidRPr="009A6BD2">
        <w:rPr>
          <w:rFonts w:ascii="Times New Roman" w:hAnsi="Times New Roman" w:cs="Times"/>
        </w:rPr>
        <w:t>vita son neveu à souffler dessus, puis il en fit autant lui-même et prononça des paroles mystérieuses. Il sembla alors à Paul (c'était le nom du neveu) que la peau devenait un oiseau vivant qui se mit à voltiger autour d'eux pendant quelques moments pour d</w:t>
      </w:r>
      <w:r w:rsidRPr="009A6BD2">
        <w:rPr>
          <w:rFonts w:ascii="Times New Roman" w:hAnsi="Times New Roman" w:cs="Times"/>
        </w:rPr>
        <w:t xml:space="preserve">isparaître ensuite. Paul reçut pour instructions de se procurer, ce jour même, la peau d'un oiseau de même espèce et de la porter sur lui ; ce qu'il fit. La nuit suivante, il eut un rêve où le </w:t>
      </w:r>
      <w:r w:rsidRPr="009A6BD2">
        <w:rPr>
          <w:rFonts w:ascii="Times New Roman" w:hAnsi="Times New Roman" w:cs="Times"/>
          <w:i/>
          <w:iCs/>
        </w:rPr>
        <w:t xml:space="preserve">snam lui </w:t>
      </w:r>
      <w:r w:rsidRPr="009A6BD2">
        <w:rPr>
          <w:rFonts w:ascii="Times New Roman" w:hAnsi="Times New Roman" w:cs="Times"/>
        </w:rPr>
        <w:t xml:space="preserve">apparut sous la forme d'un être humain qui lui révéla </w:t>
      </w:r>
      <w:r w:rsidRPr="009A6BD2">
        <w:rPr>
          <w:rFonts w:ascii="Times New Roman" w:hAnsi="Times New Roman" w:cs="Times"/>
        </w:rPr>
        <w:t>le nom mystérieux qu'on doit prononcer quand on veut l'invoquer, et qui lui promit sa protection </w:t>
      </w:r>
      <w:r w:rsidRPr="009A6BD2">
        <w:rPr>
          <w:rStyle w:val="Rimandonotaapidipagina"/>
          <w:rFonts w:ascii="Times" w:hAnsi="Times New Roman" w:cs="Times"/>
        </w:rPr>
        <w:footnoteReference w:id="320"/>
      </w:r>
      <w:r w:rsidRPr="009A6BD2">
        <w:rPr>
          <w:rFonts w:ascii="Times New Roman" w:hAnsi="Times New Roman" w:cs="Times"/>
        </w:rPr>
        <w:t xml:space="preserve">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Non seulement le totem individuel est acquis, et non donné, mais l'acquisition n'en est généralement pas obligatoire. Tout d'abord, il y a, en Australie </w:t>
      </w:r>
      <w:r w:rsidRPr="009A6BD2">
        <w:rPr>
          <w:rFonts w:ascii="Times New Roman" w:hAnsi="Times New Roman" w:cs="Times"/>
        </w:rPr>
        <w:t>une multitude de tribus où cet usage semble entièrement inconnu </w:t>
      </w:r>
      <w:r w:rsidRPr="009A6BD2">
        <w:rPr>
          <w:rStyle w:val="Rimandonotaapidipagina"/>
          <w:rFonts w:ascii="Times" w:hAnsi="Times New Roman" w:cs="Times"/>
        </w:rPr>
        <w:footnoteReference w:id="321"/>
      </w:r>
      <w:r w:rsidRPr="009A6BD2">
        <w:rPr>
          <w:rFonts w:ascii="Times New Roman" w:hAnsi="Times New Roman" w:cs="Times"/>
        </w:rPr>
        <w:t xml:space="preserve">. De plus, là même où il existe, il est souvent facultatif. Ainsi, chez les Euahlayi, si tous les magiciens ont un totem individuel de qui ils tiennent leurs pouvoirs, il y a un grand nombre </w:t>
      </w:r>
      <w:r w:rsidRPr="009A6BD2">
        <w:rPr>
          <w:rFonts w:ascii="Times New Roman" w:hAnsi="Times New Roman" w:cs="Times"/>
        </w:rPr>
        <w:t>de laïcs qui en sont dépourvus. C'est une faveur dont le magicien est le dispensateur, mais qu'il réserve surtout à ses amis, à ses favoris, à ceux qui aspirent à devenir ses confrères </w:t>
      </w:r>
      <w:r w:rsidRPr="009A6BD2">
        <w:rPr>
          <w:rStyle w:val="Rimandonotaapidipagina"/>
          <w:rFonts w:ascii="Times" w:hAnsi="Times New Roman" w:cs="Times"/>
        </w:rPr>
        <w:footnoteReference w:id="322"/>
      </w:r>
      <w:r w:rsidRPr="009A6BD2">
        <w:rPr>
          <w:rFonts w:ascii="Times New Roman" w:hAnsi="Times New Roman" w:cs="Times"/>
        </w:rPr>
        <w:t>. De même, chez certains Salish, les individus qui veulent exceller pa</w:t>
      </w:r>
      <w:r w:rsidRPr="009A6BD2">
        <w:rPr>
          <w:rFonts w:ascii="Times New Roman" w:hAnsi="Times New Roman" w:cs="Times"/>
        </w:rPr>
        <w:t>rticulièrement soit à la guerre soit à la chasse ou les aspirants à la fonction de shamane sont les seuls à se munir d'un protecteur de ce genre </w:t>
      </w:r>
      <w:r w:rsidRPr="009A6BD2">
        <w:rPr>
          <w:rStyle w:val="Rimandonotaapidipagina"/>
          <w:rFonts w:ascii="Times" w:hAnsi="Times New Roman" w:cs="Times"/>
        </w:rPr>
        <w:footnoteReference w:id="323"/>
      </w:r>
      <w:r w:rsidRPr="009A6BD2">
        <w:rPr>
          <w:rFonts w:ascii="Times New Roman" w:hAnsi="Times New Roman" w:cs="Times"/>
        </w:rPr>
        <w:t>. Le totem individuel paraît donc être considéré, au moins par certains peuples, comme un avantage et une comm</w:t>
      </w:r>
      <w:r w:rsidRPr="009A6BD2">
        <w:rPr>
          <w:rFonts w:ascii="Times New Roman" w:hAnsi="Times New Roman" w:cs="Times"/>
        </w:rPr>
        <w:t>odité, plutôt que comme une nécessité. Il est bon de s'en procurer ; mais on n'y est pas tenu. Inversement, on n'est pas obligé de se contenter d'un seul totem ; si l'on veut être mieux protégé, rien ne s'oppose à ce que l'on cherche à en acquérir plusieur</w:t>
      </w:r>
      <w:r w:rsidRPr="009A6BD2">
        <w:rPr>
          <w:rFonts w:ascii="Times New Roman" w:hAnsi="Times New Roman" w:cs="Times"/>
        </w:rPr>
        <w:t>s </w:t>
      </w:r>
      <w:r w:rsidRPr="009A6BD2">
        <w:rPr>
          <w:rStyle w:val="Rimandonotaapidipagina"/>
          <w:rFonts w:ascii="Times" w:hAnsi="Times New Roman" w:cs="Times"/>
        </w:rPr>
        <w:footnoteReference w:id="324"/>
      </w:r>
      <w:r w:rsidRPr="009A6BD2">
        <w:rPr>
          <w:rFonts w:ascii="Times New Roman" w:hAnsi="Times New Roman" w:cs="Times"/>
        </w:rPr>
        <w:t xml:space="preserve"> et, inversement, si celui que l'on a s'acquitte mal de son rôle, on peut en changer </w:t>
      </w:r>
      <w:r w:rsidRPr="009A6BD2">
        <w:rPr>
          <w:rStyle w:val="Rimandonotaapidipagina"/>
          <w:rFonts w:ascii="Times" w:hAnsi="Times New Roman" w:cs="Times"/>
        </w:rPr>
        <w:footnoteReference w:id="32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en même temps qu'il a quelque chose de plus facultatif et de plus libre, le totémisme individuel a une force de résistance à laquelle le totémisme de clan est </w:t>
      </w:r>
      <w:r w:rsidRPr="009A6BD2">
        <w:rPr>
          <w:rFonts w:ascii="Times New Roman" w:hAnsi="Times New Roman" w:cs="Times"/>
        </w:rPr>
        <w:t>loin d'atteindre. Un des principaux informateurs de Hill Tout était un Salish baptisé ; et cependant, bien qu'il eût sincèrement abandonné toutes les croyances de ses ancêtres, bien qu'il fût devenu un catéchiste modèle, sa foi dans l'efficacité des totems</w:t>
      </w:r>
      <w:r w:rsidRPr="009A6BD2">
        <w:rPr>
          <w:rFonts w:ascii="Times New Roman" w:hAnsi="Times New Roman" w:cs="Times"/>
        </w:rPr>
        <w:t xml:space="preserve"> personnels restait inébranlable </w:t>
      </w:r>
      <w:r w:rsidRPr="009A6BD2">
        <w:rPr>
          <w:rStyle w:val="Rimandonotaapidipagina"/>
          <w:rFonts w:ascii="Times" w:hAnsi="Times New Roman" w:cs="Times"/>
        </w:rPr>
        <w:footnoteReference w:id="326"/>
      </w:r>
      <w:r w:rsidRPr="009A6BD2">
        <w:rPr>
          <w:rFonts w:ascii="Times New Roman" w:hAnsi="Times New Roman" w:cs="Times"/>
        </w:rPr>
        <w:t>. De même, alors qu'il ne reste plus de traces visibles du totémisme collectif dans les pays civilisés, l'idée qu'il existe une solidarité entre chaque individu et un animal, une plante ou un objet extérieur quelconque est</w:t>
      </w:r>
      <w:r w:rsidRPr="009A6BD2">
        <w:rPr>
          <w:rFonts w:ascii="Times New Roman" w:hAnsi="Times New Roman" w:cs="Times"/>
        </w:rPr>
        <w:t xml:space="preserve"> à la base d'usages qui sont encore observables dans plusieurs pays d'Europe </w:t>
      </w:r>
      <w:r w:rsidRPr="009A6BD2">
        <w:rPr>
          <w:rStyle w:val="Rimandonotaapidipagina"/>
          <w:rFonts w:ascii="Times" w:hAnsi="Times New Roman" w:cs="Times"/>
        </w:rPr>
        <w:footnoteReference w:id="327"/>
      </w:r>
      <w:r w:rsidRPr="009A6BD2">
        <w:rPr>
          <w:rFonts w:ascii="Times New Roman" w:hAnsi="Times New Roman" w:cs="Times"/>
        </w:rPr>
        <w:t>.</w:t>
      </w:r>
    </w:p>
    <w:p w:rsidR="009A6BD2" w:rsidRPr="009A6BD2" w:rsidRDefault="003E2D0F">
      <w:pPr>
        <w:jc w:val="both"/>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2" w:name="livre_2_chap_4_2"/>
      <w:r w:rsidRPr="009A6BD2">
        <w:rPr>
          <w:rFonts w:ascii="Times New Roman" w:hAnsi="Times New Roman"/>
        </w:rPr>
        <w:t>II</w:t>
      </w:r>
    </w:p>
    <w:bookmarkEnd w:id="22"/>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Entre le totémisme collectif et le totémisme individuel, il existe une forme intermédiaire qui tient de l'un et de l'autre : c'est</w:t>
      </w:r>
      <w:r w:rsidRPr="009A6BD2">
        <w:rPr>
          <w:rFonts w:ascii="Times New Roman" w:hAnsi="Times New Roman" w:cs="Times"/>
        </w:rPr>
        <w:t xml:space="preserve"> le totémisme sexuel. On ne le rencontre qu'en Australie et dans un petit nombre de tribus. On le signale surtout dans Victoria et dans la Nouvelle Galles du Sud </w:t>
      </w:r>
      <w:r w:rsidRPr="009A6BD2">
        <w:rPr>
          <w:rStyle w:val="Rimandonotaapidipagina"/>
          <w:rFonts w:ascii="Times" w:hAnsi="Times New Roman" w:cs="Times"/>
        </w:rPr>
        <w:footnoteReference w:id="328"/>
      </w:r>
      <w:r w:rsidRPr="009A6BD2">
        <w:rPr>
          <w:rFonts w:ascii="Times New Roman" w:hAnsi="Times New Roman" w:cs="Times"/>
        </w:rPr>
        <w:t xml:space="preserve">. Mathews, il est vrai, déclare l'avoir observé dans toutes les parties de l'Australie qu'il </w:t>
      </w:r>
      <w:r w:rsidRPr="009A6BD2">
        <w:rPr>
          <w:rFonts w:ascii="Times New Roman" w:hAnsi="Times New Roman" w:cs="Times"/>
        </w:rPr>
        <w:t>a visitées, niais sans rapporter de faits précis à l'appui de son affirmation </w:t>
      </w:r>
      <w:r w:rsidRPr="009A6BD2">
        <w:rPr>
          <w:rStyle w:val="Rimandonotaapidipagina"/>
          <w:rFonts w:ascii="Times" w:hAnsi="Times New Roman" w:cs="Times"/>
        </w:rPr>
        <w:footnoteReference w:id="329"/>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Chez ces différents peuples tous les hommes de la tribu, d'une part, toutes les femmes, de l'autre, à quelque clan particulier que les uns et les autres appartiennent, forme</w:t>
      </w:r>
      <w:r w:rsidRPr="009A6BD2">
        <w:rPr>
          <w:rFonts w:ascii="Times New Roman" w:hAnsi="Times New Roman" w:cs="Times"/>
        </w:rPr>
        <w:t>nt comme deux sociétés distinctes et même antagonistes. Or, chacune de ces deux corporations sexuelles se croit unie par des liens mystiques à un animal déterminé. Chez les Kurnai, tous les hommes se considèrent comme les frères de l'émou-roitelet (Yeerùng</w:t>
      </w:r>
      <w:r w:rsidRPr="009A6BD2">
        <w:rPr>
          <w:rFonts w:ascii="Times New Roman" w:hAnsi="Times New Roman" w:cs="Times"/>
        </w:rPr>
        <w:t xml:space="preserve">), toutes les femmes comme les sœurs de la superbe fauvette (Djeetgùn) ; tous les hommes sont Veerùng et toutes les femmes Djeetgùn. Chez les Wotjobaluk, les Wurunjerri, c'est la chauve-souris et le </w:t>
      </w:r>
      <w:r w:rsidRPr="009A6BD2">
        <w:rPr>
          <w:rFonts w:ascii="Times New Roman" w:hAnsi="Times New Roman" w:cs="Times"/>
          <w:i/>
          <w:iCs/>
        </w:rPr>
        <w:t xml:space="preserve">nigthjar </w:t>
      </w:r>
      <w:r w:rsidRPr="009A6BD2">
        <w:rPr>
          <w:rFonts w:ascii="Times New Roman" w:hAnsi="Times New Roman" w:cs="Times"/>
        </w:rPr>
        <w:t>(sorte de chouette) qui jouent respectivement ce</w:t>
      </w:r>
      <w:r w:rsidRPr="009A6BD2">
        <w:rPr>
          <w:rFonts w:ascii="Times New Roman" w:hAnsi="Times New Roman" w:cs="Times"/>
        </w:rPr>
        <w:t xml:space="preserve"> rôle. Dans d'autres tribus, le pie est substitué au </w:t>
      </w:r>
      <w:r w:rsidRPr="009A6BD2">
        <w:rPr>
          <w:rFonts w:ascii="Times New Roman" w:hAnsi="Times New Roman" w:cs="Times"/>
          <w:i/>
          <w:iCs/>
        </w:rPr>
        <w:t xml:space="preserve">nigthiar. </w:t>
      </w:r>
      <w:r w:rsidRPr="009A6BD2">
        <w:rPr>
          <w:rFonts w:ascii="Times New Roman" w:hAnsi="Times New Roman" w:cs="Times"/>
        </w:rPr>
        <w:t>Chaque sexe voit dans l'animal auquel il est ainsi apparenté un protecteur qu'il con</w:t>
      </w:r>
      <w:r w:rsidRPr="009A6BD2">
        <w:rPr>
          <w:rFonts w:ascii="Times" w:hAnsi="Times New Roman" w:cs="Times"/>
        </w:rPr>
        <w:softHyphen/>
      </w:r>
      <w:r w:rsidRPr="009A6BD2">
        <w:rPr>
          <w:rFonts w:ascii="Times New Roman" w:hAnsi="Times New Roman" w:cs="Times"/>
        </w:rPr>
        <w:t>vient de traiter avec les plus grands égards : aussi est-il interdit de le tuer et de le manger </w:t>
      </w:r>
      <w:r w:rsidRPr="009A6BD2">
        <w:rPr>
          <w:rStyle w:val="Rimandonotaapidipagina"/>
          <w:rFonts w:ascii="Times" w:hAnsi="Times New Roman" w:cs="Times"/>
        </w:rPr>
        <w:footnoteReference w:id="330"/>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c</w:t>
      </w:r>
      <w:r w:rsidRPr="009A6BD2">
        <w:rPr>
          <w:rFonts w:ascii="Times New Roman" w:hAnsi="Times New Roman" w:cs="Times"/>
        </w:rPr>
        <w:t>et animal protecteur joue, par rapport à chaque société sexuelle, le même rôle que le totem du clan par rapport à ce dernier groupe. L'expression de totémisme sexuel, que nous empruntons à Frazer </w:t>
      </w:r>
      <w:r w:rsidRPr="009A6BD2">
        <w:rPr>
          <w:rStyle w:val="Rimandonotaapidipagina"/>
          <w:rFonts w:ascii="Times" w:hAnsi="Times New Roman" w:cs="Times"/>
        </w:rPr>
        <w:footnoteReference w:id="331"/>
      </w:r>
      <w:r w:rsidRPr="009A6BD2">
        <w:rPr>
          <w:rFonts w:ascii="Times New Roman" w:hAnsi="Times New Roman" w:cs="Times"/>
        </w:rPr>
        <w:t>, est donc justifiée. Ce totem d'un nouveau genre ressemble</w:t>
      </w:r>
      <w:r w:rsidRPr="009A6BD2">
        <w:rPr>
          <w:rFonts w:ascii="Times New Roman" w:hAnsi="Times New Roman" w:cs="Times"/>
        </w:rPr>
        <w:t xml:space="preserve"> même particulièrement à celui du clan en ce sens qu'il est, lui aussi, collectif ; il appartient indistinc</w:t>
      </w:r>
      <w:r w:rsidRPr="009A6BD2">
        <w:rPr>
          <w:rFonts w:ascii="Times" w:hAnsi="Times New Roman" w:cs="Times"/>
        </w:rPr>
        <w:softHyphen/>
      </w:r>
      <w:r w:rsidRPr="009A6BD2">
        <w:rPr>
          <w:rFonts w:ascii="Times New Roman" w:hAnsi="Times New Roman" w:cs="Times"/>
        </w:rPr>
        <w:t>te</w:t>
      </w:r>
      <w:r w:rsidRPr="009A6BD2">
        <w:rPr>
          <w:rFonts w:ascii="Times" w:hAnsi="Times New Roman" w:cs="Times"/>
        </w:rPr>
        <w:softHyphen/>
      </w:r>
      <w:r w:rsidRPr="009A6BD2">
        <w:rPr>
          <w:rFonts w:ascii="Times New Roman" w:hAnsi="Times New Roman" w:cs="Times"/>
        </w:rPr>
        <w:t>ment à tous les individus d'un même sexe. Il y ressemble également en ce qu'il implique entre l'animal-patron et le sexe correspondant un rapport</w:t>
      </w:r>
      <w:r w:rsidRPr="009A6BD2">
        <w:rPr>
          <w:rFonts w:ascii="Times New Roman" w:hAnsi="Times New Roman" w:cs="Times"/>
        </w:rPr>
        <w:t xml:space="preserve"> de descendance et de consanguinité: chez les Kurnai, tous les hommes sont censés être descendus de Yeerùng et toutes les fem</w:t>
      </w:r>
      <w:r w:rsidRPr="009A6BD2">
        <w:rPr>
          <w:rFonts w:ascii="Times" w:hAnsi="Times New Roman" w:cs="Times"/>
        </w:rPr>
        <w:softHyphen/>
      </w:r>
      <w:r w:rsidRPr="009A6BD2">
        <w:rPr>
          <w:rFonts w:ascii="Times New Roman" w:hAnsi="Times New Roman" w:cs="Times"/>
        </w:rPr>
        <w:t>mes de Djeetgùn </w:t>
      </w:r>
      <w:r w:rsidRPr="009A6BD2">
        <w:rPr>
          <w:rStyle w:val="Rimandonotaapidipagina"/>
          <w:rFonts w:ascii="Times" w:hAnsi="Times New Roman" w:cs="Times"/>
        </w:rPr>
        <w:footnoteReference w:id="332"/>
      </w:r>
      <w:r w:rsidRPr="009A6BD2">
        <w:rPr>
          <w:rFonts w:ascii="Times New Roman" w:hAnsi="Times New Roman" w:cs="Times"/>
        </w:rPr>
        <w:t>. Le premier observateur qui ait, dès 1834, signalé cette curieuse insti</w:t>
      </w:r>
      <w:r w:rsidRPr="009A6BD2">
        <w:rPr>
          <w:rFonts w:ascii="Times" w:hAnsi="Times New Roman" w:cs="Times"/>
        </w:rPr>
        <w:softHyphen/>
      </w:r>
      <w:r w:rsidRPr="009A6BD2">
        <w:rPr>
          <w:rFonts w:ascii="Times New Roman" w:hAnsi="Times New Roman" w:cs="Times"/>
        </w:rPr>
        <w:t>tution la décrivait dans les termes suiv</w:t>
      </w:r>
      <w:r w:rsidRPr="009A6BD2">
        <w:rPr>
          <w:rFonts w:ascii="Times New Roman" w:hAnsi="Times New Roman" w:cs="Times"/>
        </w:rPr>
        <w:t>ants: « Tilmun, un petit oiseau de la grandeur d'une grive (c'est une sorte de pie), est considéré par les femmes comme ayant été le premier à faire des femmes. Ces oiseaux sont tenus en vénération par les femmes seulement </w:t>
      </w:r>
      <w:r w:rsidRPr="009A6BD2">
        <w:rPr>
          <w:rStyle w:val="Rimandonotaapidipagina"/>
          <w:rFonts w:ascii="Times" w:hAnsi="Times New Roman" w:cs="Times"/>
        </w:rPr>
        <w:footnoteReference w:id="333"/>
      </w:r>
      <w:r w:rsidRPr="009A6BD2">
        <w:rPr>
          <w:rFonts w:ascii="Times New Roman" w:hAnsi="Times New Roman" w:cs="Times"/>
        </w:rPr>
        <w:t>. » C'était donc un grand ancêtr</w:t>
      </w:r>
      <w:r w:rsidRPr="009A6BD2">
        <w:rPr>
          <w:rFonts w:ascii="Times New Roman" w:hAnsi="Times New Roman" w:cs="Times"/>
        </w:rPr>
        <w:t>e. Mais par un autre côté, ce même totem se rapproche du totem individuel. On croit, en effet, que chaque membre du groupe sexuel est lié personnellement à un individu déterminé de l'espèce animale correspondante. Les deux vies sont si étroitement associée</w:t>
      </w:r>
      <w:r w:rsidRPr="009A6BD2">
        <w:rPr>
          <w:rFonts w:ascii="Times New Roman" w:hAnsi="Times New Roman" w:cs="Times"/>
        </w:rPr>
        <w:t>s que la mort de l'animal entraîne celle de l'homme. « La vie d'une chauve-souris, disent les Wotjobaluk, c'est la vie d'un homme </w:t>
      </w:r>
      <w:r w:rsidRPr="009A6BD2">
        <w:rPr>
          <w:rStyle w:val="Rimandonotaapidipagina"/>
          <w:rFonts w:ascii="Times" w:hAnsi="Times New Roman" w:cs="Times"/>
        </w:rPr>
        <w:footnoteReference w:id="334"/>
      </w:r>
      <w:r w:rsidRPr="009A6BD2">
        <w:rPr>
          <w:rFonts w:ascii="Times New Roman" w:hAnsi="Times New Roman" w:cs="Times"/>
        </w:rPr>
        <w:t>. » C'est pourquoi non seulement chaque sexe respecte son totem, mais il oblige les membres de l'autre sexe à le respecter ég</w:t>
      </w:r>
      <w:r w:rsidRPr="009A6BD2">
        <w:rPr>
          <w:rFonts w:ascii="Times New Roman" w:hAnsi="Times New Roman" w:cs="Times"/>
        </w:rPr>
        <w:t>alement. Toute viola</w:t>
      </w:r>
      <w:r w:rsidRPr="009A6BD2">
        <w:rPr>
          <w:rFonts w:ascii="Times" w:hAnsi="Times New Roman" w:cs="Times"/>
        </w:rPr>
        <w:softHyphen/>
      </w:r>
      <w:r w:rsidRPr="009A6BD2">
        <w:rPr>
          <w:rFonts w:ascii="Times New Roman" w:hAnsi="Times New Roman" w:cs="Times"/>
        </w:rPr>
        <w:t>tion de cet interdit donne lieu, entre hommes et femmes </w:t>
      </w:r>
      <w:r w:rsidRPr="009A6BD2">
        <w:rPr>
          <w:rStyle w:val="Rimandonotaapidipagina"/>
          <w:rFonts w:ascii="Times" w:hAnsi="Times New Roman" w:cs="Times"/>
        </w:rPr>
        <w:footnoteReference w:id="335"/>
      </w:r>
      <w:r w:rsidRPr="009A6BD2">
        <w:rPr>
          <w:rFonts w:ascii="Times New Roman" w:hAnsi="Times New Roman" w:cs="Times"/>
        </w:rPr>
        <w:t>, à de véritables et sanglantes batailles.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définitive, ce qu'ont de vraiment original ces totems, c'est qu'ils sont, en un sens, des sortes de totems tribaux. En effet, ils v</w:t>
      </w:r>
      <w:r w:rsidRPr="009A6BD2">
        <w:rPr>
          <w:rFonts w:ascii="Times New Roman" w:hAnsi="Times New Roman" w:cs="Times"/>
        </w:rPr>
        <w:t xml:space="preserve">iennent de ce qu'on se représente la tribu comme issue tout entière d'un couple d'êtres mythique. Une telle croyance semble bien impliquer que le sentiment tribal a pris assez de force pour prévaloir, dans une certaine mesure, contre le particularisme des </w:t>
      </w:r>
      <w:r w:rsidRPr="009A6BD2">
        <w:rPr>
          <w:rFonts w:ascii="Times New Roman" w:hAnsi="Times New Roman" w:cs="Times"/>
        </w:rPr>
        <w:t>clans. Quant au fait qu'une origine distincte est assignée aux hommes et aux femmes, il faut, sans doute, en chercher la raison dans l'état de séparation où vivent les sexes </w:t>
      </w:r>
      <w:r w:rsidRPr="009A6BD2">
        <w:rPr>
          <w:rStyle w:val="Rimandonotaapidipagina"/>
          <w:rFonts w:ascii="Times" w:hAnsi="Times New Roman" w:cs="Times"/>
        </w:rPr>
        <w:footnoteReference w:id="336"/>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 xml:space="preserve">Il serait intéressant de savoir comment, dans la pensée de l'Australien, les </w:t>
      </w:r>
      <w:r w:rsidRPr="009A6BD2">
        <w:rPr>
          <w:rFonts w:ascii="Times New Roman" w:hAnsi="Times New Roman" w:cs="Times"/>
        </w:rPr>
        <w:t>totems sexuels se rattachent aux totems de clans, quels rapports il y a entre les deux ancêtres qui sont ainsi placés à l'origine de la tribu et ceux dont chaque clan en particulier est censé descendu. Mais les données ethnographiques dont nous disposons p</w:t>
      </w:r>
      <w:r w:rsidRPr="009A6BD2">
        <w:rPr>
          <w:rFonts w:ascii="Times New Roman" w:hAnsi="Times New Roman" w:cs="Times"/>
        </w:rPr>
        <w:t>résentement ne permettent pas de résoudre la question. D'ailleurs, si naturelle et même si nécessaire qu'elle nous paraisse, il est très possible que les indigènes ne se la soient jamais posée. Ils n'éprouvent pas, en effet, au même degré que nous, le beso</w:t>
      </w:r>
      <w:r w:rsidRPr="009A6BD2">
        <w:rPr>
          <w:rFonts w:ascii="Times New Roman" w:hAnsi="Times New Roman" w:cs="Times"/>
        </w:rPr>
        <w:t>in de coordonner et de systématiser leurs croyances </w:t>
      </w:r>
      <w:r w:rsidRPr="009A6BD2">
        <w:rPr>
          <w:rStyle w:val="Rimandonotaapidipagina"/>
          <w:rFonts w:ascii="Times" w:hAnsi="Times New Roman" w:cs="Times"/>
        </w:rPr>
        <w:footnoteReference w:id="337"/>
      </w:r>
      <w:r w:rsidRPr="009A6BD2">
        <w:rPr>
          <w:rFonts w:ascii="Times New Roman" w:hAnsi="Times New Roman" w:cs="Times"/>
        </w:rPr>
        <w:t>.</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23" w:name="livre_2_chap_5"/>
      <w:r w:rsidRPr="009A6BD2">
        <w:rPr>
          <w:rFonts w:ascii="Times New Roman" w:hAnsi="Times New Roman"/>
        </w:rPr>
        <w:t>CHAPITRE V</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ORIGINES DE CES CROYANCES</w:t>
      </w:r>
    </w:p>
    <w:bookmarkEnd w:id="23"/>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Niveau10"/>
        <w:rPr>
          <w:rFonts w:ascii="Times New Roman" w:hAnsi="Times New Roman"/>
        </w:rPr>
      </w:pPr>
      <w:bookmarkStart w:id="24" w:name="livre_2_chap_5_examen_critique"/>
      <w:r w:rsidRPr="009A6BD2">
        <w:rPr>
          <w:rFonts w:ascii="Times New Roman" w:hAnsi="Times New Roman"/>
        </w:rPr>
        <w:t>I. - Examen critique des théories</w:t>
      </w:r>
    </w:p>
    <w:bookmarkEnd w:id="24"/>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 xml:space="preserve">Les croyances que nous venons de passer en revue sont de nature manifestement </w:t>
      </w:r>
      <w:r w:rsidRPr="009A6BD2">
        <w:rPr>
          <w:rFonts w:ascii="Times New Roman" w:hAnsi="Times New Roman" w:cs="Times"/>
        </w:rPr>
        <w:t>religieu</w:t>
      </w:r>
      <w:r w:rsidRPr="009A6BD2">
        <w:rPr>
          <w:rFonts w:ascii="Times" w:hAnsi="Times New Roman" w:cs="Times"/>
        </w:rPr>
        <w:softHyphen/>
      </w:r>
      <w:r w:rsidRPr="009A6BD2">
        <w:rPr>
          <w:rFonts w:ascii="Times New Roman" w:hAnsi="Times New Roman" w:cs="Times"/>
        </w:rPr>
        <w:t xml:space="preserve">se, puisqu'elles impliquent une classification des choses en sacrées et en profanes. Sans doute, il n'y est pas question d'êtres spirituels, et, dans le cours de notre exposé, nous n'avons même pas eu à prononcer les mots d'esprits, de génies, de </w:t>
      </w:r>
      <w:r w:rsidRPr="009A6BD2">
        <w:rPr>
          <w:rFonts w:ascii="Times New Roman" w:hAnsi="Times New Roman" w:cs="Times"/>
        </w:rPr>
        <w:t>personnalités divines. Mais si, pour cette raison, quelques écrivains, dont nous allons, d'ailleurs, avoir à reparler, se sont refusés à voir dans le totémisme une religion, c'est qu'ils se sont fait du phénomène religieux une notion inexacte.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D'autre par</w:t>
      </w:r>
      <w:r w:rsidRPr="009A6BD2">
        <w:rPr>
          <w:rFonts w:ascii="Times New Roman" w:hAnsi="Times New Roman" w:cs="Times"/>
        </w:rPr>
        <w:t>t, nous avons l'assurance que cette religion est la plus primitive qui soit actuel</w:t>
      </w:r>
      <w:r w:rsidRPr="009A6BD2">
        <w:rPr>
          <w:rFonts w:ascii="Times" w:hAnsi="Times New Roman" w:cs="Times"/>
        </w:rPr>
        <w:softHyphen/>
      </w:r>
      <w:r w:rsidRPr="009A6BD2">
        <w:rPr>
          <w:rFonts w:ascii="Times New Roman" w:hAnsi="Times New Roman" w:cs="Times"/>
        </w:rPr>
        <w:t>le</w:t>
      </w:r>
      <w:r w:rsidRPr="009A6BD2">
        <w:rPr>
          <w:rFonts w:ascii="Times" w:hAnsi="Times New Roman" w:cs="Times"/>
        </w:rPr>
        <w:softHyphen/>
      </w:r>
      <w:r w:rsidRPr="009A6BD2">
        <w:rPr>
          <w:rFonts w:ascii="Times New Roman" w:hAnsi="Times New Roman" w:cs="Times"/>
        </w:rPr>
        <w:t>ment observable, et même, selon toute vraisemblance, qui ait jamais existé. Elle est, en effet, inséparable de l'organisation sociale à base de clans. Non seulement, comm</w:t>
      </w:r>
      <w:r w:rsidRPr="009A6BD2">
        <w:rPr>
          <w:rFonts w:ascii="Times New Roman" w:hAnsi="Times New Roman" w:cs="Times"/>
        </w:rPr>
        <w:t>e nous l'avons montré, on ne peut la définir qu'en fonction de cette dernière, mais il ne semble pas que le clan, sous la forme qu'il a dans un très grand nombre de sociétés australiennes, ait pu exister sans le totem. Car les membres d'un même clan ne son</w:t>
      </w:r>
      <w:r w:rsidRPr="009A6BD2">
        <w:rPr>
          <w:rFonts w:ascii="Times New Roman" w:hAnsi="Times New Roman" w:cs="Times"/>
        </w:rPr>
        <w:t>t unis les uns aux autres ni par la communauté de l'habitat ni par celle du sang, puisqu'ils ne sont pas nécessairement consanguins et qu'ils sont souvent dispersés sur des points différents du territoire tribal. Leur unité vient donc uniquement de ce qu'i</w:t>
      </w:r>
      <w:r w:rsidRPr="009A6BD2">
        <w:rPr>
          <w:rFonts w:ascii="Times New Roman" w:hAnsi="Times New Roman" w:cs="Times"/>
        </w:rPr>
        <w:t>ls ont un même nom et un même emblème, de ce qu'ils croient soutenir les mêmes rapports avec les mêmes catégories de choses, de ce qu'ils prati</w:t>
      </w:r>
      <w:r w:rsidRPr="009A6BD2">
        <w:rPr>
          <w:rFonts w:ascii="Times" w:hAnsi="Times New Roman" w:cs="Times"/>
        </w:rPr>
        <w:softHyphen/>
      </w:r>
      <w:r w:rsidRPr="009A6BD2">
        <w:rPr>
          <w:rFonts w:ascii="Times New Roman" w:hAnsi="Times New Roman" w:cs="Times"/>
        </w:rPr>
        <w:t>quent les mêmes rites, c'est-à-dire en définitive de ce qu'ils communient dans le même culte totémique. Ainsi le</w:t>
      </w:r>
      <w:r w:rsidRPr="009A6BD2">
        <w:rPr>
          <w:rFonts w:ascii="Times New Roman" w:hAnsi="Times New Roman" w:cs="Times"/>
        </w:rPr>
        <w:t xml:space="preserve"> totémisme et le clan, tant, du moins, que ce dernier ne se confond pas avec le groupe local, s'impliquent mutuellement. Or l'organisation à base de clans est la plus simple que nous connaissions. Elle existe, en effet, avec tous ses éléments essentiels, d</w:t>
      </w:r>
      <w:r w:rsidRPr="009A6BD2">
        <w:rPr>
          <w:rFonts w:ascii="Times New Roman" w:hAnsi="Times New Roman" w:cs="Times"/>
        </w:rPr>
        <w:t>ès que la société comprend deux clans primaires ; par suite, il ne saurait y en avoir de plus rudimen</w:t>
      </w:r>
      <w:r w:rsidRPr="009A6BD2">
        <w:rPr>
          <w:rFonts w:ascii="Times" w:hAnsi="Times New Roman" w:cs="Times"/>
        </w:rPr>
        <w:softHyphen/>
      </w:r>
      <w:r w:rsidRPr="009A6BD2">
        <w:rPr>
          <w:rFonts w:ascii="Times New Roman" w:hAnsi="Times New Roman" w:cs="Times"/>
        </w:rPr>
        <w:t>taire, tant qu'on n'aura pas découvert de sociétés réduites à un seul clan, et jusqu'à présent, nous ne croyons pas qu'on en ait trouvé de traces. Une rel</w:t>
      </w:r>
      <w:r w:rsidRPr="009A6BD2">
        <w:rPr>
          <w:rFonts w:ascii="Times New Roman" w:hAnsi="Times New Roman" w:cs="Times"/>
        </w:rPr>
        <w:t>igion aussi étroitement solidaire du système social qui dépasse tous les autres en simplicité peut être regardée comme la plus élémentaire qu'il nous soit donné de connaître. Si donc nous parvenons à trouver les origines des croyances qui viennent d'être a</w:t>
      </w:r>
      <w:r w:rsidRPr="009A6BD2">
        <w:rPr>
          <w:rFonts w:ascii="Times New Roman" w:hAnsi="Times New Roman" w:cs="Times"/>
        </w:rPr>
        <w:t>nalysées, nous avons des chances de découvrir du même coup les causes qui firent éclore le sentiment religieux dans l'humanité.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avant de traiter nous-même le problème, il convient d'examiner les solutions les plus autorisées qui en ont été proposées.</w:t>
      </w:r>
    </w:p>
    <w:p w:rsidR="009A6BD2" w:rsidRPr="009A6BD2" w:rsidRDefault="003E2D0F">
      <w:pPr>
        <w:jc w:val="both"/>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5" w:name="livre_2_chap_5_1"/>
      <w:r w:rsidRPr="009A6BD2">
        <w:rPr>
          <w:rFonts w:ascii="Times New Roman" w:hAnsi="Times New Roman"/>
        </w:rPr>
        <w:t>I</w:t>
      </w:r>
    </w:p>
    <w:bookmarkEnd w:id="25"/>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Nous trouvons tout d'abord un groupe de savants qui ont cru pouvoir expliquer le toté</w:t>
      </w:r>
      <w:r w:rsidRPr="009A6BD2">
        <w:rPr>
          <w:rFonts w:ascii="Times" w:hAnsi="Times New Roman" w:cs="Times"/>
        </w:rPr>
        <w:softHyphen/>
      </w:r>
      <w:r w:rsidRPr="009A6BD2">
        <w:rPr>
          <w:rFonts w:ascii="Times New Roman" w:hAnsi="Times New Roman" w:cs="Times"/>
        </w:rPr>
        <w:t>misme en le dérivant directement d'une religion antérieure.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Pour Tylor </w:t>
      </w:r>
      <w:r w:rsidRPr="009A6BD2">
        <w:rPr>
          <w:rStyle w:val="Rimandonotaapidipagina"/>
          <w:rFonts w:ascii="Times" w:hAnsi="Times New Roman" w:cs="Times"/>
        </w:rPr>
        <w:footnoteReference w:id="338"/>
      </w:r>
      <w:r w:rsidRPr="009A6BD2">
        <w:rPr>
          <w:rFonts w:ascii="Times New Roman" w:hAnsi="Times New Roman" w:cs="Times"/>
        </w:rPr>
        <w:t xml:space="preserve"> et Wilken </w:t>
      </w:r>
      <w:r w:rsidRPr="009A6BD2">
        <w:rPr>
          <w:rStyle w:val="Rimandonotaapidipagina"/>
          <w:rFonts w:ascii="Times" w:hAnsi="Times New Roman" w:cs="Times"/>
        </w:rPr>
        <w:footnoteReference w:id="339"/>
      </w:r>
      <w:r w:rsidRPr="009A6BD2">
        <w:rPr>
          <w:rFonts w:ascii="Times New Roman" w:hAnsi="Times New Roman" w:cs="Times"/>
        </w:rPr>
        <w:t>, le totémisme serait une forme partic</w:t>
      </w:r>
      <w:r w:rsidRPr="009A6BD2">
        <w:rPr>
          <w:rFonts w:ascii="Times New Roman" w:hAnsi="Times New Roman" w:cs="Times"/>
        </w:rPr>
        <w:t>ulière du culte des ancêtres; c'est la doctrine, certainement très répandue de la transmigration des âmes qui aurait servi de transitions entre ces deux systèmes religieux. Un grand nombre de peuples croient que l'âme, après la mort, ne reste pas éternelle</w:t>
      </w:r>
      <w:r w:rsidRPr="009A6BD2">
        <w:rPr>
          <w:rFonts w:ascii="Times New Roman" w:hAnsi="Times New Roman" w:cs="Times"/>
        </w:rPr>
        <w:t xml:space="preserve">ment désincarnée, mais vient animer à nouveau quelque corps vivant ; d'autre part, « comme la psychologie des races inférieures n'établit aucune ligne de démarcation bien définie entre l'âme des hommes et l'âme des bêtes, elle admet sans grande difficulté </w:t>
      </w:r>
      <w:r w:rsidRPr="009A6BD2">
        <w:rPr>
          <w:rFonts w:ascii="Times New Roman" w:hAnsi="Times New Roman" w:cs="Times"/>
        </w:rPr>
        <w:t>la transmigration de l'âme humaine dans le corps des animaux » </w:t>
      </w:r>
      <w:r w:rsidRPr="009A6BD2">
        <w:rPr>
          <w:rStyle w:val="Rimandonotaapidipagina"/>
          <w:rFonts w:ascii="Times" w:hAnsi="Times New Roman" w:cs="Times"/>
        </w:rPr>
        <w:footnoteReference w:id="340"/>
      </w:r>
      <w:r w:rsidRPr="009A6BD2">
        <w:rPr>
          <w:rFonts w:ascii="Times New Roman" w:hAnsi="Times New Roman" w:cs="Times"/>
        </w:rPr>
        <w:t>. Tylor en cite un certain nombre de cas </w:t>
      </w:r>
      <w:r w:rsidRPr="009A6BD2">
        <w:rPr>
          <w:rStyle w:val="Rimandonotaapidipagina"/>
          <w:rFonts w:ascii="Times" w:hAnsi="Times New Roman" w:cs="Times"/>
        </w:rPr>
        <w:footnoteReference w:id="341"/>
      </w:r>
      <w:r w:rsidRPr="009A6BD2">
        <w:rPr>
          <w:rFonts w:ascii="Times New Roman" w:hAnsi="Times New Roman" w:cs="Times"/>
        </w:rPr>
        <w:t>. Dans ces conditions, le respect religieux qu'inspire l'ancêtre se reporte tout naturellement sur la bête ou sur la plante avec laquelle il est désor</w:t>
      </w:r>
      <w:r w:rsidRPr="009A6BD2">
        <w:rPr>
          <w:rFonts w:ascii="Times New Roman" w:hAnsi="Times New Roman" w:cs="Times"/>
        </w:rPr>
        <w:t>mais confondu. L'animal qui sert ainsi de réceptacle à un être vénéré devient, pour tous les descen</w:t>
      </w:r>
      <w:r w:rsidRPr="009A6BD2">
        <w:rPr>
          <w:rFonts w:ascii="Times" w:hAnsi="Times New Roman" w:cs="Times"/>
        </w:rPr>
        <w:softHyphen/>
      </w:r>
      <w:r w:rsidRPr="009A6BD2">
        <w:rPr>
          <w:rFonts w:ascii="Times New Roman" w:hAnsi="Times New Roman" w:cs="Times"/>
        </w:rPr>
        <w:t>dants de l'ancêtre, c'est-à-dire pour le clan qui en est issu, une chose sainte, objet d'un culte, en un mot un totem.</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Des faits signalés par Wilken dans l</w:t>
      </w:r>
      <w:r w:rsidRPr="009A6BD2">
        <w:rPr>
          <w:rFonts w:ascii="Times New Roman" w:hAnsi="Times New Roman" w:cs="Times"/>
        </w:rPr>
        <w:t xml:space="preserve">es sociétés de l'archipel malais, tendraient à prouver que c'est bien ainsi que les croyances totémiques y ont pris naissance. A Java, à Sumatra, les crocodiles sont particulièrement honorés ; on voit en eux de bienveillants protecteurs qu'il est interdit </w:t>
      </w:r>
      <w:r w:rsidRPr="009A6BD2">
        <w:rPr>
          <w:rFonts w:ascii="Times New Roman" w:hAnsi="Times New Roman" w:cs="Times"/>
        </w:rPr>
        <w:t>de tuer ; on leur fait des offrandes. Or le culte qui leur est aussi rendu vient de ce qu'ils passent pour incarner des âmes d'ancêtres. Les Malais des Philippines considèrent le crocodile comme leur grand-père ; le tigre est traité de la même manière et p</w:t>
      </w:r>
      <w:r w:rsidRPr="009A6BD2">
        <w:rPr>
          <w:rFonts w:ascii="Times New Roman" w:hAnsi="Times New Roman" w:cs="Times"/>
        </w:rPr>
        <w:t>our les mêmes raisons. Des croyances analogues ont été observées chez les Bantous </w:t>
      </w:r>
      <w:r w:rsidRPr="009A6BD2">
        <w:rPr>
          <w:rStyle w:val="Rimandonotaapidipagina"/>
          <w:rFonts w:ascii="Times" w:hAnsi="Times New Roman" w:cs="Times"/>
        </w:rPr>
        <w:footnoteReference w:id="342"/>
      </w:r>
      <w:r w:rsidRPr="009A6BD2">
        <w:rPr>
          <w:rFonts w:ascii="Times New Roman" w:hAnsi="Times New Roman" w:cs="Times"/>
        </w:rPr>
        <w:t xml:space="preserve">. En Mélanésie, il arrive parfois qu'un homme influent, au moment de mourir, annonce sa volonté de se réincarner dans tel animal ou telle plante ; on s'explique que l'objet </w:t>
      </w:r>
      <w:r w:rsidRPr="009A6BD2">
        <w:rPr>
          <w:rFonts w:ascii="Times New Roman" w:hAnsi="Times New Roman" w:cs="Times"/>
        </w:rPr>
        <w:t>quelconque, qu'il choisit ainsi pour sa résidence posthume, devienne ensuite sacré pour toute sa famille </w:t>
      </w:r>
      <w:r w:rsidRPr="009A6BD2">
        <w:rPr>
          <w:rStyle w:val="Rimandonotaapidipagina"/>
          <w:rFonts w:ascii="Times" w:hAnsi="Times New Roman" w:cs="Times"/>
        </w:rPr>
        <w:footnoteReference w:id="343"/>
      </w:r>
      <w:r w:rsidRPr="009A6BD2">
        <w:rPr>
          <w:rFonts w:ascii="Times New Roman" w:hAnsi="Times New Roman" w:cs="Times"/>
        </w:rPr>
        <w:t>. Bien loin donc de constituer un fait primitif, le totémisme ne serait que le produit d'une religion plus complexe qui l'aurait précédé </w:t>
      </w:r>
      <w:r w:rsidRPr="009A6BD2">
        <w:rPr>
          <w:rStyle w:val="Rimandonotaapidipagina"/>
          <w:rFonts w:ascii="Times" w:hAnsi="Times New Roman" w:cs="Times"/>
        </w:rPr>
        <w:footnoteReference w:id="34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les </w:t>
      </w:r>
      <w:r w:rsidRPr="009A6BD2">
        <w:rPr>
          <w:rFonts w:ascii="Times New Roman" w:hAnsi="Times New Roman" w:cs="Times"/>
        </w:rPr>
        <w:t>sociétés auxquelles ces faits sont empruntés sont déjà parvenues à une culture assez élevée; en tout cas, elles ont dépassé la phase du pur totémisme. Il y a chez elle des familles, non des clans totémiques </w:t>
      </w:r>
      <w:r w:rsidRPr="009A6BD2">
        <w:rPr>
          <w:rStyle w:val="Rimandonotaapidipagina"/>
          <w:rFonts w:ascii="Times" w:hAnsi="Times New Roman" w:cs="Times"/>
        </w:rPr>
        <w:footnoteReference w:id="345"/>
      </w:r>
      <w:r w:rsidRPr="009A6BD2">
        <w:rPr>
          <w:rFonts w:ascii="Times New Roman" w:hAnsi="Times New Roman" w:cs="Times"/>
        </w:rPr>
        <w:t>. Même la plupart des animaux auxquels sont ains</w:t>
      </w:r>
      <w:r w:rsidRPr="009A6BD2">
        <w:rPr>
          <w:rFonts w:ascii="Times New Roman" w:hAnsi="Times New Roman" w:cs="Times"/>
        </w:rPr>
        <w:t>i rendus des honneurs religieux sont vénérés, non par des groupes familiaux déterminés, mais par des tribus tout entières. Si donc ces croyances et ces pratiques peuvent n'être pas sans rapports avec d'anciens cultes totémiques, elles n'en représentent plu</w:t>
      </w:r>
      <w:r w:rsidRPr="009A6BD2">
        <w:rPr>
          <w:rFonts w:ascii="Times New Roman" w:hAnsi="Times New Roman" w:cs="Times"/>
        </w:rPr>
        <w:t>s maintenant que des formes altérées </w:t>
      </w:r>
      <w:r w:rsidRPr="009A6BD2">
        <w:rPr>
          <w:rStyle w:val="Rimandonotaapidipagina"/>
          <w:rFonts w:ascii="Times" w:hAnsi="Times New Roman" w:cs="Times"/>
        </w:rPr>
        <w:footnoteReference w:id="346"/>
      </w:r>
      <w:r w:rsidRPr="009A6BD2">
        <w:rPr>
          <w:rFonts w:ascii="Times New Roman" w:hAnsi="Times New Roman" w:cs="Times"/>
        </w:rPr>
        <w:t xml:space="preserve"> et, par conséquent, ne sont guère propres à nous en révéler les origines. Ce n'est pas en considérant une institution au moment où elle est en pleine décadence qu'on peut arriver à comprendre comment elle s'est formée</w:t>
      </w:r>
      <w:r w:rsidRPr="009A6BD2">
        <w:rPr>
          <w:rFonts w:ascii="Times New Roman" w:hAnsi="Times New Roman" w:cs="Times"/>
        </w:rPr>
        <w:t>. Si l'on veut savoir comment le totémisme a pris naissance, ce n'est ni Java, ni Sumatra, ni la Mélanésie qu'il faut observer: c'est l'Australie. Or, ici, il n'existe ni culte des morts </w:t>
      </w:r>
      <w:r w:rsidRPr="009A6BD2">
        <w:rPr>
          <w:rStyle w:val="Rimandonotaapidipagina"/>
          <w:rFonts w:ascii="Times" w:hAnsi="Times New Roman" w:cs="Times"/>
        </w:rPr>
        <w:footnoteReference w:id="347"/>
      </w:r>
      <w:r w:rsidRPr="009A6BD2">
        <w:rPr>
          <w:rFonts w:ascii="Times New Roman" w:hAnsi="Times New Roman" w:cs="Times"/>
        </w:rPr>
        <w:t xml:space="preserve"> ni doctrine de la transmigration. Sans doute, on croit que les héro</w:t>
      </w:r>
      <w:r w:rsidRPr="009A6BD2">
        <w:rPr>
          <w:rFonts w:ascii="Times New Roman" w:hAnsi="Times New Roman" w:cs="Times"/>
        </w:rPr>
        <w:t xml:space="preserve">s mythiques, fondateurs du clan, se réincarnent périodiquement; mais </w:t>
      </w:r>
      <w:r w:rsidRPr="009A6BD2">
        <w:rPr>
          <w:rFonts w:ascii="Times New Roman" w:hAnsi="Times New Roman" w:cs="Times"/>
          <w:i/>
          <w:iCs/>
        </w:rPr>
        <w:t xml:space="preserve">c'est exclusivement dans des corps humains ; </w:t>
      </w:r>
      <w:r w:rsidRPr="009A6BD2">
        <w:rPr>
          <w:rFonts w:ascii="Times New Roman" w:hAnsi="Times New Roman" w:cs="Times"/>
        </w:rPr>
        <w:t>chaque naissance, comme nous le verrons, est le produit d'une de ces réincarnations. Si donc les animaux de l'espèce totémique sont l'objet de</w:t>
      </w:r>
      <w:r w:rsidRPr="009A6BD2">
        <w:rPr>
          <w:rFonts w:ascii="Times New Roman" w:hAnsi="Times New Roman" w:cs="Times"/>
        </w:rPr>
        <w:t xml:space="preserve"> rites, ce n'est pas parce que des âmes ancestrales sont censées y résider. Il est vrai que ces premiers ancêtres sont souvent représentés sous forme animale, et cette représentation, qui est très fréquente, est un fait important dont il nous faudra rendre</w:t>
      </w:r>
      <w:r w:rsidRPr="009A6BD2">
        <w:rPr>
          <w:rFonts w:ascii="Times New Roman" w:hAnsi="Times New Roman" w:cs="Times"/>
        </w:rPr>
        <w:t xml:space="preserve"> compte ; mais ce n'est pas la croyance à la métempsycose qui peut y avoir donné naissance, puisqu'elle est inconnue des sociétés australiennes.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D'ailleurs, bien loin de pouvoir expliquer le totémisme, cette croyance suppose elle-même un des principes fon</w:t>
      </w:r>
      <w:r w:rsidRPr="009A6BD2">
        <w:rPr>
          <w:rFonts w:ascii="Times New Roman" w:hAnsi="Times New Roman" w:cs="Times"/>
        </w:rPr>
        <w:t>damentaux sur lesquels il repose ; c'est-à-dire qu'elle prend pour accordé cela même qu'il faut expliquer. Tout comme le totémisme, en effet, elle implique que l'homme est conçu comme étroitement parent de l'animal ; car si ces deux règnes étaient nettemen</w:t>
      </w:r>
      <w:r w:rsidRPr="009A6BD2">
        <w:rPr>
          <w:rFonts w:ascii="Times New Roman" w:hAnsi="Times New Roman" w:cs="Times"/>
        </w:rPr>
        <w:t>t distingués dans les esprits, on ne croirait pas que l'âme humaine peut passer de l'un dans l'autre avec cette facilité. Il faut même que le corps de l'animal soit considéré comme sa véritable patrie, puisqu'elle est censée s'y rendre dès qu'elle a repris</w:t>
      </w:r>
      <w:r w:rsidRPr="009A6BD2">
        <w:rPr>
          <w:rFonts w:ascii="Times New Roman" w:hAnsi="Times New Roman" w:cs="Times"/>
        </w:rPr>
        <w:t xml:space="preserve"> sa liberté. Or, si la doc</w:t>
      </w:r>
      <w:r w:rsidRPr="009A6BD2">
        <w:rPr>
          <w:rFonts w:ascii="Times" w:hAnsi="Times New Roman" w:cs="Times"/>
        </w:rPr>
        <w:softHyphen/>
      </w:r>
      <w:r w:rsidRPr="009A6BD2">
        <w:rPr>
          <w:rFonts w:ascii="Times New Roman" w:hAnsi="Times New Roman" w:cs="Times"/>
        </w:rPr>
        <w:t>trine de la transmigration postule cette singulière affinité, elle n'en rend aucunement compte. La seule raison qu'en donne Tylor, c'est que l'homme, parfois, rappelle certains traits de l'anatomie et de la psychologie de l'anima</w:t>
      </w:r>
      <w:r w:rsidRPr="009A6BD2">
        <w:rPr>
          <w:rFonts w:ascii="Times New Roman" w:hAnsi="Times New Roman" w:cs="Times"/>
        </w:rPr>
        <w:t>l. « Le sauvage, dit-il, observe avec un étonne</w:t>
      </w:r>
      <w:r w:rsidRPr="009A6BD2">
        <w:rPr>
          <w:rFonts w:ascii="Times" w:hAnsi="Times New Roman" w:cs="Times"/>
        </w:rPr>
        <w:softHyphen/>
      </w:r>
      <w:r w:rsidRPr="009A6BD2">
        <w:rPr>
          <w:rFonts w:ascii="Times New Roman" w:hAnsi="Times New Roman" w:cs="Times"/>
        </w:rPr>
        <w:t xml:space="preserve">ment sympathique les traits à demi humains, les actions et le caractère des animaux. L'animal n'est-il pas l'incarnation même, si nous pouvons nous exprimer ainsi, de qualités familières à l'homme ; et quand </w:t>
      </w:r>
      <w:r w:rsidRPr="009A6BD2">
        <w:rPr>
          <w:rFonts w:ascii="Times New Roman" w:hAnsi="Times New Roman" w:cs="Times"/>
        </w:rPr>
        <w:t>nous appliquons, comme épithète, à certains hommes le nom de lion, d'ours, de renard, de hibou, de perroquet, de vipère, de ver, ne résumons-nous pas, en un mot, quelques traits caractéristiques d'une vie humaine ? » </w:t>
      </w:r>
      <w:r w:rsidRPr="009A6BD2">
        <w:rPr>
          <w:rStyle w:val="Rimandonotaapidipagina"/>
          <w:rFonts w:ascii="Times" w:hAnsi="Times New Roman" w:cs="Times"/>
        </w:rPr>
        <w:footnoteReference w:id="348"/>
      </w:r>
      <w:r w:rsidRPr="009A6BD2">
        <w:rPr>
          <w:rFonts w:ascii="Times New Roman" w:hAnsi="Times New Roman" w:cs="Times"/>
        </w:rPr>
        <w:t>. Mais s'il se rencontre, en effet, de</w:t>
      </w:r>
      <w:r w:rsidRPr="009A6BD2">
        <w:rPr>
          <w:rFonts w:ascii="Times New Roman" w:hAnsi="Times New Roman" w:cs="Times"/>
        </w:rPr>
        <w:t xml:space="preserve"> ces ressemblances, elles sont incertaines et exceptionnelles ; l'homme ressemble avant tout à ses parents, à ses compagnons, et non à des plantes ou à des animaux, Des analogies aussi rares et aussi douteuses ne pouvaient triompher d'évidences aussi conco</w:t>
      </w:r>
      <w:r w:rsidRPr="009A6BD2">
        <w:rPr>
          <w:rFonts w:ascii="Times New Roman" w:hAnsi="Times New Roman" w:cs="Times"/>
        </w:rPr>
        <w:t>rdantes ni induire l'homme à se penser lui-même et à penser ses devanciers sous des espèces que contredisaient toutes les données de l'expérience journalière. La question reste donc entière et tant qu'elle n'est pas résolue, on ne peut dire que le totémism</w:t>
      </w:r>
      <w:r w:rsidRPr="009A6BD2">
        <w:rPr>
          <w:rFonts w:ascii="Times New Roman" w:hAnsi="Times New Roman" w:cs="Times"/>
        </w:rPr>
        <w:t>e soit expliqué </w:t>
      </w:r>
      <w:r w:rsidRPr="009A6BD2">
        <w:rPr>
          <w:rStyle w:val="Rimandonotaapidipagina"/>
          <w:rFonts w:ascii="Times" w:hAnsi="Times New Roman" w:cs="Times"/>
        </w:rPr>
        <w:footnoteReference w:id="34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Enfin, toute cette théorie repose sur une méprise fondamentale. Pour Tylor comme pour Wundt, le totémisme ne serait qu'un cas particulier du culte des animaux </w:t>
      </w:r>
      <w:r w:rsidRPr="009A6BD2">
        <w:rPr>
          <w:rStyle w:val="Rimandonotaapidipagina"/>
          <w:rFonts w:ascii="Times" w:hAnsi="Times New Roman" w:cs="Times"/>
        </w:rPr>
        <w:footnoteReference w:id="350"/>
      </w:r>
      <w:r w:rsidRPr="009A6BD2">
        <w:rPr>
          <w:rFonts w:ascii="Times New Roman" w:hAnsi="Times New Roman" w:cs="Times"/>
        </w:rPr>
        <w:t>. Nous savons, au contraire, qu'il y faut voir tout autre chose qu'une sorte</w:t>
      </w:r>
      <w:r w:rsidRPr="009A6BD2">
        <w:rPr>
          <w:rFonts w:ascii="Times New Roman" w:hAnsi="Times New Roman" w:cs="Times"/>
        </w:rPr>
        <w:t xml:space="preserve"> de zoolâtrie </w:t>
      </w:r>
      <w:r w:rsidRPr="009A6BD2">
        <w:rPr>
          <w:rStyle w:val="Rimandonotaapidipagina"/>
          <w:rFonts w:ascii="Times" w:hAnsi="Times New Roman" w:cs="Times"/>
        </w:rPr>
        <w:footnoteReference w:id="351"/>
      </w:r>
      <w:r w:rsidRPr="009A6BD2">
        <w:rPr>
          <w:rFonts w:ascii="Times New Roman" w:hAnsi="Times New Roman" w:cs="Times"/>
        </w:rPr>
        <w:t>. L'animal n'y est nulle</w:t>
      </w:r>
      <w:r w:rsidRPr="009A6BD2">
        <w:rPr>
          <w:rFonts w:ascii="Times" w:hAnsi="Times New Roman" w:cs="Times"/>
        </w:rPr>
        <w:softHyphen/>
      </w:r>
      <w:r w:rsidRPr="009A6BD2">
        <w:rPr>
          <w:rFonts w:ascii="Times New Roman" w:hAnsi="Times New Roman" w:cs="Times"/>
        </w:rPr>
        <w:t>ment adoré; l'homme est presque son égal et parfois même on dispose comme de sa chose, loin de lui être subordonné comme un fidèle à son dieu. Si vraiment les animaux de l'espèce totémique passaient pour incarner des</w:t>
      </w:r>
      <w:r w:rsidRPr="009A6BD2">
        <w:rPr>
          <w:rFonts w:ascii="Times New Roman" w:hAnsi="Times New Roman" w:cs="Times"/>
        </w:rPr>
        <w:t xml:space="preserve"> ancêtres, on ne laisserait pas les membres des clans étrangers en consommer librement la chair. En réalité, ce n'est pas à l'animal comme tel que s'adresse le culte, c'est à l'emblème, c'est à l'image du totem. Or, entre cette religion de l'emblème et le </w:t>
      </w:r>
      <w:r w:rsidRPr="009A6BD2">
        <w:rPr>
          <w:rFonts w:ascii="Times New Roman" w:hAnsi="Times New Roman" w:cs="Times"/>
        </w:rPr>
        <w:t>culte des ancêtres, il n'existe aucun rapport.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Tandis que Tylor ramène le totémisme au culte dans ancêtres, Jevons le rattache au culte de la nature </w:t>
      </w:r>
      <w:r w:rsidRPr="009A6BD2">
        <w:rPr>
          <w:rStyle w:val="Rimandonotaapidipagina"/>
          <w:rFonts w:ascii="Times" w:hAnsi="Times New Roman" w:cs="Times"/>
        </w:rPr>
        <w:footnoteReference w:id="352"/>
      </w:r>
      <w:r w:rsidRPr="009A6BD2">
        <w:rPr>
          <w:rFonts w:ascii="Times New Roman" w:hAnsi="Times New Roman" w:cs="Times"/>
        </w:rPr>
        <w:t>, et voici comment il l'en dérive.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Une fois que l'homme, sous l'impression de surprise que lui causaient</w:t>
      </w:r>
      <w:r w:rsidRPr="009A6BD2">
        <w:rPr>
          <w:rFonts w:ascii="Times New Roman" w:hAnsi="Times New Roman" w:cs="Times"/>
        </w:rPr>
        <w:t xml:space="preserve"> les irrégularités constatées dans le cours des phénomènes, eut peuplé le monde d'êtres surnaturels </w:t>
      </w:r>
      <w:r w:rsidRPr="009A6BD2">
        <w:rPr>
          <w:rStyle w:val="Rimandonotaapidipagina"/>
          <w:rFonts w:ascii="Times" w:hAnsi="Times New Roman" w:cs="Times"/>
        </w:rPr>
        <w:footnoteReference w:id="353"/>
      </w:r>
      <w:r w:rsidRPr="009A6BD2">
        <w:rPr>
          <w:rFonts w:ascii="Times New Roman" w:hAnsi="Times New Roman" w:cs="Times"/>
        </w:rPr>
        <w:t>, il sentit la nécessité de s'arranger avec les forces redoutables dont il s'était lui-même entouré. Pour ne pas être écrasé par elles, il comprit que le m</w:t>
      </w:r>
      <w:r w:rsidRPr="009A6BD2">
        <w:rPr>
          <w:rFonts w:ascii="Times New Roman" w:hAnsi="Times New Roman" w:cs="Times"/>
        </w:rPr>
        <w:t xml:space="preserve">eilleur moyen était de s'allier à quelques-unes d'entre elles et de s'assurer ainsi leur concours. Or, à cette phase de l'histoire, on ne connaît pas d'autre forme d'alliance et d'association que celle qui résulte de la parenté. Tous les membres d'un même </w:t>
      </w:r>
      <w:r w:rsidRPr="009A6BD2">
        <w:rPr>
          <w:rFonts w:ascii="Times New Roman" w:hAnsi="Times New Roman" w:cs="Times"/>
        </w:rPr>
        <w:t xml:space="preserve">clan s'assistent mutuellement parce qu'ils sont parents ou, ce qui revient au même, parce qu'ils se regardent comme tels; au contraire, des clans différents se traitent en ennemis parce qu'ils sont de sang différent. La seule manière de se ménager l'appui </w:t>
      </w:r>
      <w:r w:rsidRPr="009A6BD2">
        <w:rPr>
          <w:rFonts w:ascii="Times New Roman" w:hAnsi="Times New Roman" w:cs="Times"/>
        </w:rPr>
        <w:t xml:space="preserve">des êtres surnaturels était donc de les adopter comme parents et de se faire adopter par eux en la même qualité : les procédés bien connus du </w:t>
      </w:r>
      <w:r w:rsidRPr="009A6BD2">
        <w:rPr>
          <w:rFonts w:ascii="Times New Roman" w:hAnsi="Times New Roman" w:cs="Times"/>
          <w:i/>
          <w:iCs/>
        </w:rPr>
        <w:t xml:space="preserve">blood-covenant </w:t>
      </w:r>
      <w:r w:rsidRPr="009A6BD2">
        <w:rPr>
          <w:rFonts w:ascii="Times New Roman" w:hAnsi="Times New Roman" w:cs="Times"/>
        </w:rPr>
        <w:t>permettaient d'atteindre aisément ce résultat. Mais comme à ce moment, l'individu n'avait pas encor</w:t>
      </w:r>
      <w:r w:rsidRPr="009A6BD2">
        <w:rPr>
          <w:rFonts w:ascii="Times New Roman" w:hAnsi="Times New Roman" w:cs="Times"/>
        </w:rPr>
        <w:t xml:space="preserve">e de personnalité propre, comme on ne voyait en lui qu'une partie quelconque de son groupe, c'est-à-dire de son clan, c'est le clan dans son ensemble, et non l'individu, qui contracta collectivement cette parenté. Pour la même raison, il la contracta, non </w:t>
      </w:r>
      <w:r w:rsidRPr="009A6BD2">
        <w:rPr>
          <w:rFonts w:ascii="Times New Roman" w:hAnsi="Times New Roman" w:cs="Times"/>
        </w:rPr>
        <w:t>avec un objet en particulier, mais avec le groupe naturel, c'est-à-dire avec l'espèce, dont cet objet faisait partie; car l'homme pense le monde comme il se pense lui-même et, de même qu'il ne se conçoit pas alors comme séparé de son clan, il ne saurait co</w:t>
      </w:r>
      <w:r w:rsidRPr="009A6BD2">
        <w:rPr>
          <w:rFonts w:ascii="Times New Roman" w:hAnsi="Times New Roman" w:cs="Times"/>
        </w:rPr>
        <w:t>ncevoir une chose comme séparée de l'espèce à laquelle elle ressortit. Or, une espèce de choses qui est unie à un clan par des liens de parenté, c'est, dit Jevons, un totem.</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est certain, en effet, que le totémisme implique une étroite association entre</w:t>
      </w:r>
      <w:r w:rsidRPr="009A6BD2">
        <w:rPr>
          <w:rFonts w:ascii="Times New Roman" w:hAnsi="Times New Roman" w:cs="Times"/>
        </w:rPr>
        <w:t xml:space="preserve"> un clan et une catégorie déterminée d'objets. Mais que, comme le veut Jevons, cette association ait été contractée de propos délibéré, avec une pleine conscience du but poursuivi, c'est ce qui paraît peu d'accord avec ce que nous apprend l'histoire. Les r</w:t>
      </w:r>
      <w:r w:rsidRPr="009A6BD2">
        <w:rPr>
          <w:rFonts w:ascii="Times New Roman" w:hAnsi="Times New Roman" w:cs="Times"/>
        </w:rPr>
        <w:t>eligions sont choses complexes, elles répondent à de trop multiples et à de trop obscurs besoins pour qu'elles puissent avoir leur origine dans un acte bien réfléchi de la volonté. D'ailleurs, en même temps qu'elle pèche par excès de simplisme, cette hypot</w:t>
      </w:r>
      <w:r w:rsidRPr="009A6BD2">
        <w:rPr>
          <w:rFonts w:ascii="Times New Roman" w:hAnsi="Times New Roman" w:cs="Times"/>
        </w:rPr>
        <w:t>hèse est grosse d'invraisemblances. On dit que l'homme aurait cherché à s'assurer le concours des êtres surnaturels dont les choses dépendent. Mais alors il eût dû s'adresser de préférence aux plus puissants d'entre eux, à ceux dont la protection promettai</w:t>
      </w:r>
      <w:r w:rsidRPr="009A6BD2">
        <w:rPr>
          <w:rFonts w:ascii="Times New Roman" w:hAnsi="Times New Roman" w:cs="Times"/>
        </w:rPr>
        <w:t>t d'être le plus efficace </w:t>
      </w:r>
      <w:r w:rsidRPr="009A6BD2">
        <w:rPr>
          <w:rStyle w:val="Rimandonotaapidipagina"/>
          <w:rFonts w:ascii="Times" w:hAnsi="Times New Roman" w:cs="Times"/>
        </w:rPr>
        <w:footnoteReference w:id="354"/>
      </w:r>
      <w:r w:rsidRPr="009A6BD2">
        <w:rPr>
          <w:rFonts w:ascii="Times New Roman" w:hAnsi="Times New Roman" w:cs="Times"/>
        </w:rPr>
        <w:t>. Or, tout au contraire, les êtres avec lesquels il a noué cette parenté mystique comptent le plus souvent parmi les plus humbles qui soient. D'autre part, si vraiment il ne s'agissait que de se faire des alliés et des défenseurs</w:t>
      </w:r>
      <w:r w:rsidRPr="009A6BD2">
        <w:rPr>
          <w:rFonts w:ascii="Times New Roman" w:hAnsi="Times New Roman" w:cs="Times"/>
        </w:rPr>
        <w:t>, on aurait dû chercher à en avoir le plus possible ; car on ne saurait être trop bien défendu. Cependant, en réalité, chaque clan se contente systématiquement d'un seul totem, c'est-à-dire d'un seul protecteur, laissant les autres clans jouir du leur en t</w:t>
      </w:r>
      <w:r w:rsidRPr="009A6BD2">
        <w:rPr>
          <w:rFonts w:ascii="Times New Roman" w:hAnsi="Times New Roman" w:cs="Times"/>
        </w:rPr>
        <w:t>oute liberté : chaque groupe se renferme rigoureusement dans le domaine religieux qui lui est propre sans jamais chercher à empiéter sur celui des voisins. Cette réserve et cette modération sont inintelligibles dans l'hypothèse que nous examinons.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6" w:name="livre_2_chap_5_2"/>
      <w:r w:rsidRPr="009A6BD2">
        <w:rPr>
          <w:rFonts w:ascii="Times New Roman" w:hAnsi="Times New Roman"/>
        </w:rPr>
        <w:t>II</w:t>
      </w:r>
    </w:p>
    <w:bookmarkEnd w:id="26"/>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 xml:space="preserve">Toutes ces théories ont, d'ailleurs, le tort d'omettre une question qui domine toute la matière. Nous avons vu qu'il existe deux sortes de totémisme : celui de l'individu et celui du clan. Entre l'un et l'autre, il y </w:t>
      </w:r>
      <w:r w:rsidRPr="009A6BD2">
        <w:rPr>
          <w:rFonts w:ascii="Times New Roman" w:hAnsi="Times New Roman" w:cs="Times"/>
        </w:rPr>
        <w:t>a une trop évidente parenté pour qu'il n'existe pas entre eux quelque rapport. Il y a donc lieu de se demander si l'un n'est pas dérivé de l'autre et, en cas de réponse affirmative, quel est le plus primitif ; suivant la solution qui sera adoptée, le probl</w:t>
      </w:r>
      <w:r w:rsidRPr="009A6BD2">
        <w:rPr>
          <w:rFonts w:ascii="Times New Roman" w:hAnsi="Times New Roman" w:cs="Times"/>
        </w:rPr>
        <w:t>ème des origines du totémisme se posera dans des termes différents. La question s'impose d'autant plus qu'elle offre un intérêt très général. Le totémisme individuel, c'est l'aspect individuel du culte totémique. Si donc il est le fait primitif, il faut di</w:t>
      </w:r>
      <w:r w:rsidRPr="009A6BD2">
        <w:rPr>
          <w:rFonts w:ascii="Times New Roman" w:hAnsi="Times New Roman" w:cs="Times"/>
        </w:rPr>
        <w:t>re que la religion est née dans la conscience de l'individu, qu'elle répond avant tout à des aspirations individuelles, et qu'elle n'a pris que secondairement une forme collective.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L'esprit simpliste, dont s'inspirent encore trop souvent ethnographes et s</w:t>
      </w:r>
      <w:r w:rsidRPr="009A6BD2">
        <w:rPr>
          <w:rFonts w:ascii="Times New Roman" w:hAnsi="Times New Roman" w:cs="Times"/>
        </w:rPr>
        <w:t xml:space="preserve">ociologues, devait naturellement incliner nombre de savants à expliquer, ici comme ailleurs, le complexe par le simple, le totem du groupe par celui de l'individu. Telle est, en effet, la théorie soutenue par Frazer, dans son </w:t>
      </w:r>
      <w:r w:rsidRPr="009A6BD2">
        <w:rPr>
          <w:rFonts w:ascii="Times New Roman" w:hAnsi="Times New Roman" w:cs="Times"/>
          <w:i/>
          <w:iCs/>
        </w:rPr>
        <w:t>Golden Bough</w:t>
      </w:r>
      <w:r w:rsidRPr="009A6BD2">
        <w:rPr>
          <w:rFonts w:ascii="Times New Roman" w:hAnsi="Times New Roman" w:cs="Times"/>
        </w:rPr>
        <w:t> </w:t>
      </w:r>
      <w:r w:rsidRPr="009A6BD2">
        <w:rPr>
          <w:rStyle w:val="Rimandonotaapidipagina"/>
          <w:rFonts w:ascii="Times" w:hAnsi="Times New Roman" w:cs="Times"/>
        </w:rPr>
        <w:footnoteReference w:id="355"/>
      </w:r>
      <w:r w:rsidRPr="009A6BD2">
        <w:rPr>
          <w:rFonts w:ascii="Times New Roman" w:hAnsi="Times New Roman" w:cs="Times"/>
        </w:rPr>
        <w:t>, par Hill Tout </w:t>
      </w:r>
      <w:r w:rsidRPr="009A6BD2">
        <w:rPr>
          <w:rStyle w:val="Rimandonotaapidipagina"/>
          <w:rFonts w:ascii="Times" w:hAnsi="Times New Roman" w:cs="Times"/>
        </w:rPr>
        <w:footnoteReference w:id="356"/>
      </w:r>
      <w:r w:rsidRPr="009A6BD2">
        <w:rPr>
          <w:rFonts w:ascii="Times New Roman" w:hAnsi="Times New Roman" w:cs="Times"/>
        </w:rPr>
        <w:t>, par Miss Flet cher </w:t>
      </w:r>
      <w:r w:rsidRPr="009A6BD2">
        <w:rPr>
          <w:rStyle w:val="Rimandonotaapidipagina"/>
          <w:rFonts w:ascii="Times" w:hAnsi="Times New Roman" w:cs="Times"/>
        </w:rPr>
        <w:footnoteReference w:id="357"/>
      </w:r>
      <w:r w:rsidRPr="009A6BD2">
        <w:rPr>
          <w:rFonts w:ascii="Times New Roman" w:hAnsi="Times New Roman" w:cs="Times"/>
        </w:rPr>
        <w:t>, par Boas </w:t>
      </w:r>
      <w:r w:rsidRPr="009A6BD2">
        <w:rPr>
          <w:rStyle w:val="Rimandonotaapidipagina"/>
          <w:rFonts w:ascii="Times" w:hAnsi="Times New Roman" w:cs="Times"/>
        </w:rPr>
        <w:footnoteReference w:id="358"/>
      </w:r>
      <w:r w:rsidRPr="009A6BD2">
        <w:rPr>
          <w:rFonts w:ascii="Times New Roman" w:hAnsi="Times New Roman" w:cs="Times"/>
        </w:rPr>
        <w:t xml:space="preserve"> et par Swanton </w:t>
      </w:r>
      <w:r w:rsidRPr="009A6BD2">
        <w:rPr>
          <w:rStyle w:val="Rimandonotaapidipagina"/>
          <w:rFonts w:ascii="Times" w:hAnsi="Times New Roman" w:cs="Times"/>
        </w:rPr>
        <w:footnoteReference w:id="359"/>
      </w:r>
      <w:r w:rsidRPr="009A6BD2">
        <w:rPr>
          <w:rFonts w:ascii="Times New Roman" w:hAnsi="Times New Roman" w:cs="Times"/>
        </w:rPr>
        <w:t>. Elle a, d'ailleurs, l'avantage d'être d'accord avec la conception qu'on se fait couramment de la religion: on y voit assez généralement une chose toute intime et personnelle. De ce point de vue, le tote</w:t>
      </w:r>
      <w:r w:rsidRPr="009A6BD2">
        <w:rPr>
          <w:rFonts w:ascii="Times New Roman" w:hAnsi="Times New Roman" w:cs="Times"/>
        </w:rPr>
        <w:t>m du clan ne peut donc être qu'un totem individuel qui se serait généralisé. Un homme marquant, après avoir éprouvé la valeur d'un totem qu'il s'était librement choisi, l'aurait transmis à ses descendants ; ceux-ci, en se multipliant avec le temps, auraien</w:t>
      </w:r>
      <w:r w:rsidRPr="009A6BD2">
        <w:rPr>
          <w:rFonts w:ascii="Times New Roman" w:hAnsi="Times New Roman" w:cs="Times"/>
        </w:rPr>
        <w:t>t fini par former cette famille étendue qu'est le clan, et c'est ainsi que le totem serait devenu collectif.</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Hill Tout a cru trouver une preuve à l'appui de cette théorie dans la manière dont le totémisme est entendu par certaines sociétés du Nord-Ouest a</w:t>
      </w:r>
      <w:r w:rsidRPr="009A6BD2">
        <w:rPr>
          <w:rFonts w:ascii="Times New Roman" w:hAnsi="Times New Roman" w:cs="Times"/>
        </w:rPr>
        <w:t>méricain, notamment par les Salish et les Indiens de la Rivière Thompson. Chez ces peuples, en effet, on rencontre et le totémisme individuel et le totémisme de clan ; mais ou bien ils ne coexistent pas dans une même tribu, ou bien, quand ils coexistent, i</w:t>
      </w:r>
      <w:r w:rsidRPr="009A6BD2">
        <w:rPr>
          <w:rFonts w:ascii="Times New Roman" w:hAnsi="Times New Roman" w:cs="Times"/>
        </w:rPr>
        <w:t>ls sont inégalement développés. Ils varient en raison inverse l'un de l'autre : là où le totem de clan tend à être la règle générale, le totem individuel tend à disparaître, et inversement. N'est-ce pas dire que le premier est une forme plus récente du sec</w:t>
      </w:r>
      <w:r w:rsidRPr="009A6BD2">
        <w:rPr>
          <w:rFonts w:ascii="Times New Roman" w:hAnsi="Times New Roman" w:cs="Times"/>
        </w:rPr>
        <w:t>ond qu'il exclut en le remplaçant </w:t>
      </w:r>
      <w:r w:rsidRPr="009A6BD2">
        <w:rPr>
          <w:rStyle w:val="Rimandonotaapidipagina"/>
          <w:rFonts w:ascii="Times" w:hAnsi="Times New Roman" w:cs="Times"/>
        </w:rPr>
        <w:footnoteReference w:id="360"/>
      </w:r>
      <w:r w:rsidRPr="009A6BD2">
        <w:rPr>
          <w:rFonts w:ascii="Times New Roman" w:hAnsi="Times New Roman" w:cs="Times"/>
        </w:rPr>
        <w:t xml:space="preserve"> ? La mythologie semble confirmer cette interprétation. Dans ces mêmes sociétés, en effet, l'ancêtre du clan n'est pas un animal totémique : mais on se représente généralement le fondateur du groupe sous les traits d'un ê</w:t>
      </w:r>
      <w:r w:rsidRPr="009A6BD2">
        <w:rPr>
          <w:rFonts w:ascii="Times New Roman" w:hAnsi="Times New Roman" w:cs="Times"/>
        </w:rPr>
        <w:t>tre humain qui, à un moment donné, serait entré en rapports et en commerce familier avec un animal fabuleux de qui il aurait reçu son emblème totémique. Cet emblème, avec les pouvoirs spéciaux qui y sont attachés, serait ensuite passé aux descendants de ce</w:t>
      </w:r>
      <w:r w:rsidRPr="009A6BD2">
        <w:rPr>
          <w:rFonts w:ascii="Times New Roman" w:hAnsi="Times New Roman" w:cs="Times"/>
        </w:rPr>
        <w:t xml:space="preserve"> héros mythi</w:t>
      </w:r>
      <w:r w:rsidRPr="009A6BD2">
        <w:rPr>
          <w:rFonts w:ascii="Times" w:hAnsi="Times New Roman" w:cs="Times"/>
        </w:rPr>
        <w:softHyphen/>
      </w:r>
      <w:r w:rsidRPr="009A6BD2">
        <w:rPr>
          <w:rFonts w:ascii="Times New Roman" w:hAnsi="Times New Roman" w:cs="Times"/>
        </w:rPr>
        <w:t>que par droit d'héritage. Ces peuples semblent donc avoir eux-mêmes dans le totem collec</w:t>
      </w:r>
      <w:r w:rsidRPr="009A6BD2">
        <w:rPr>
          <w:rFonts w:ascii="Times" w:hAnsi="Times New Roman" w:cs="Times"/>
        </w:rPr>
        <w:softHyphen/>
      </w:r>
      <w:r w:rsidRPr="009A6BD2">
        <w:rPr>
          <w:rFonts w:ascii="Times New Roman" w:hAnsi="Times New Roman" w:cs="Times"/>
        </w:rPr>
        <w:t>tif un totem individuel qui se serait perpétué dans une même famille </w:t>
      </w:r>
      <w:r w:rsidRPr="009A6BD2">
        <w:rPr>
          <w:rStyle w:val="Rimandonotaapidipagina"/>
          <w:rFonts w:ascii="Times" w:hAnsi="Times New Roman" w:cs="Times"/>
        </w:rPr>
        <w:footnoteReference w:id="361"/>
      </w:r>
      <w:r w:rsidRPr="009A6BD2">
        <w:rPr>
          <w:rFonts w:ascii="Times New Roman" w:hAnsi="Times New Roman" w:cs="Times"/>
        </w:rPr>
        <w:t xml:space="preserve">. En fait, d'ailleurs, il arrive encore aujourd'hui qu'un père transmette son totem </w:t>
      </w:r>
      <w:r w:rsidRPr="009A6BD2">
        <w:rPr>
          <w:rFonts w:ascii="Times New Roman" w:hAnsi="Times New Roman" w:cs="Times"/>
        </w:rPr>
        <w:t>propre à ses enfants. En imaginant que, d'une manière générale, le totem collectif a eu cette même origine, on ne fait donc qu'affirmer du passé un fait qui est encore présentement observable </w:t>
      </w:r>
      <w:r w:rsidRPr="009A6BD2">
        <w:rPr>
          <w:rStyle w:val="Rimandonotaapidipagina"/>
          <w:rFonts w:ascii="Times" w:hAnsi="Times New Roman" w:cs="Times"/>
        </w:rPr>
        <w:footnoteReference w:id="36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Reste à expliquer d'où vient le totémisme individuel. La rép</w:t>
      </w:r>
      <w:r w:rsidRPr="009A6BD2">
        <w:rPr>
          <w:rFonts w:ascii="Times New Roman" w:hAnsi="Times New Roman" w:cs="Times"/>
        </w:rPr>
        <w:t>onse faite à cette question varie selon les auteurs.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Hill Tout y voit un cas particulier du fétichisme. Se sentant entouré de toutes parts d'esprits redoutés, l'individu aurait éprouvé le sentiment que, tout à l'heure, Jevons prêtait au clan : pour pouvoi</w:t>
      </w:r>
      <w:r w:rsidRPr="009A6BD2">
        <w:rPr>
          <w:rFonts w:ascii="Times New Roman" w:hAnsi="Times New Roman" w:cs="Times"/>
        </w:rPr>
        <w:t>r se maintenir, il aurait cherché à s'assurer dans ce monde mystérieux quelque puissant protecteur. C'est ainsi que l'usage du totem personnel se serait établi </w:t>
      </w:r>
      <w:r w:rsidRPr="009A6BD2">
        <w:rPr>
          <w:rStyle w:val="Rimandonotaapidipagina"/>
          <w:rFonts w:ascii="Times" w:hAnsi="Times New Roman" w:cs="Times"/>
        </w:rPr>
        <w:footnoteReference w:id="363"/>
      </w:r>
      <w:r w:rsidRPr="009A6BD2">
        <w:rPr>
          <w:rFonts w:ascii="Times New Roman" w:hAnsi="Times New Roman" w:cs="Times"/>
        </w:rPr>
        <w:t xml:space="preserve">. Pour Frazer, cette même institution serait plutôt un subterfuge, une ruse de guerre inventée </w:t>
      </w:r>
      <w:r w:rsidRPr="009A6BD2">
        <w:rPr>
          <w:rFonts w:ascii="Times New Roman" w:hAnsi="Times New Roman" w:cs="Times"/>
        </w:rPr>
        <w:t>par les hommes pour échapper à certains dangers. On sait que, suivant une croyance très répandue dans un grand nombre de sociétés inférieures, l'âme humaine peut, sans inconvé</w:t>
      </w:r>
      <w:r w:rsidRPr="009A6BD2">
        <w:rPr>
          <w:rFonts w:ascii="Times" w:hAnsi="Times New Roman" w:cs="Times"/>
        </w:rPr>
        <w:softHyphen/>
      </w:r>
      <w:r w:rsidRPr="009A6BD2">
        <w:rPr>
          <w:rFonts w:ascii="Times New Roman" w:hAnsi="Times New Roman" w:cs="Times"/>
        </w:rPr>
        <w:t xml:space="preserve">nients, quitter temporairement le corps où elle habite ; si éloignée qu'elle en </w:t>
      </w:r>
      <w:r w:rsidRPr="009A6BD2">
        <w:rPr>
          <w:rFonts w:ascii="Times New Roman" w:hAnsi="Times New Roman" w:cs="Times"/>
        </w:rPr>
        <w:t>puisse être, elle continue à l'animer par une sorte d'action à distance. Mais alors, dans certains moments critiques où la vie passe pour être particulièrement menacée, il peut y avoir intérêt à retirer l'âme du corps et à la déposer dans un lieu ou dans u</w:t>
      </w:r>
      <w:r w:rsidRPr="009A6BD2">
        <w:rPr>
          <w:rFonts w:ascii="Times New Roman" w:hAnsi="Times New Roman" w:cs="Times"/>
        </w:rPr>
        <w:t xml:space="preserve">n objet où elle serait plus en sûreté. Et il existe, en effet, un certain nombre de pratiques qui ont pour objet d'externer l'âme en vue de la soustraire à quelque péril, réel ou imaginaire. Par exemple, au moment où des gens vont pénétrer dans une maison </w:t>
      </w:r>
      <w:r w:rsidRPr="009A6BD2">
        <w:rPr>
          <w:rFonts w:ascii="Times New Roman" w:hAnsi="Times New Roman" w:cs="Times"/>
        </w:rPr>
        <w:t>nouvellement construite, un magicien extrait leurs âmes et les met dans un sac, sauf à les restituer à leurs propriétaires une fois que le seuil sera franchi. C'est que le moment où l'on entre dans une maison neuve est exceptionnellement critique ; on risq</w:t>
      </w:r>
      <w:r w:rsidRPr="009A6BD2">
        <w:rPr>
          <w:rFonts w:ascii="Times New Roman" w:hAnsi="Times New Roman" w:cs="Times"/>
        </w:rPr>
        <w:t>ue de troubler et, par conséquent, d'offenser les esprits qui résident dans le sol et surtout sous le seuil, et, si l'on ne prenait pas de précautions, ils pourraient faire payer cher à l'homme son audace. Mais une fois que le danger est passé, une fois qu</w:t>
      </w:r>
      <w:r w:rsidRPr="009A6BD2">
        <w:rPr>
          <w:rFonts w:ascii="Times New Roman" w:hAnsi="Times New Roman" w:cs="Times"/>
        </w:rPr>
        <w:t>'on a pu prévenir leur colère et même s'assurer leur appui grâce à l'accomplissement de certains rites, les âmes peuvent, en toute sécurité, reprendre leur place accoutumée </w:t>
      </w:r>
      <w:r w:rsidRPr="009A6BD2">
        <w:rPr>
          <w:rStyle w:val="Rimandonotaapidipagina"/>
          <w:rFonts w:ascii="Times" w:hAnsi="Times New Roman" w:cs="Times"/>
        </w:rPr>
        <w:footnoteReference w:id="364"/>
      </w:r>
      <w:r w:rsidRPr="009A6BD2">
        <w:rPr>
          <w:rFonts w:ascii="Times New Roman" w:hAnsi="Times New Roman" w:cs="Times"/>
        </w:rPr>
        <w:t>. C'est cette même croyance qui aurait donné naissance au totem individuel. Pour s</w:t>
      </w:r>
      <w:r w:rsidRPr="009A6BD2">
        <w:rPr>
          <w:rFonts w:ascii="Times New Roman" w:hAnsi="Times New Roman" w:cs="Times"/>
        </w:rPr>
        <w:t>e mettre à l'abri des maléfices magiques, les hommes auraient cru sage de cacher leurs âmes dans la foule anonyme d'une espèce animale ou végétale. Mais, une fois ce commerce établi, chaque individu se trouva étroitement uni à l'animal ou à la plante où ét</w:t>
      </w:r>
      <w:r w:rsidRPr="009A6BD2">
        <w:rPr>
          <w:rFonts w:ascii="Times New Roman" w:hAnsi="Times New Roman" w:cs="Times"/>
        </w:rPr>
        <w:t>ait censé résider son principe vital. Deux êtres aussi solidaires finirent même par être considérés comme à peu près indistincts : on crut qu'ils participaient à la nature l'un de l'autre. Cette croyance, une fois admise, facilita et activa la transformati</w:t>
      </w:r>
      <w:r w:rsidRPr="009A6BD2">
        <w:rPr>
          <w:rFonts w:ascii="Times New Roman" w:hAnsi="Times New Roman" w:cs="Times"/>
        </w:rPr>
        <w:t>on du totem person</w:t>
      </w:r>
      <w:r w:rsidRPr="009A6BD2">
        <w:rPr>
          <w:rFonts w:ascii="Times" w:hAnsi="Times New Roman" w:cs="Times"/>
        </w:rPr>
        <w:softHyphen/>
      </w:r>
      <w:r w:rsidRPr="009A6BD2">
        <w:rPr>
          <w:rFonts w:ascii="Times New Roman" w:hAnsi="Times New Roman" w:cs="Times"/>
        </w:rPr>
        <w:t>nel en totem héréditaire et, par suite, collectif ; car il sembla de toute évidence que cette parenté de nature devait se transmettre héréditairement du père aux enfants.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ne nous arrêterons pas à discuter longuement ces deux explic</w:t>
      </w:r>
      <w:r w:rsidRPr="009A6BD2">
        <w:rPr>
          <w:rFonts w:ascii="Times New Roman" w:hAnsi="Times New Roman" w:cs="Times"/>
        </w:rPr>
        <w:t>ations du totem individuel : ce sont d'ingénieuses vues de l'esprit, mais qui manquent totalement de preuves posi</w:t>
      </w:r>
      <w:r w:rsidRPr="009A6BD2">
        <w:rPr>
          <w:rFonts w:ascii="Times" w:hAnsi="Times New Roman" w:cs="Times"/>
        </w:rPr>
        <w:softHyphen/>
      </w:r>
      <w:r w:rsidRPr="009A6BD2">
        <w:rPr>
          <w:rFonts w:ascii="Times New Roman" w:hAnsi="Times New Roman" w:cs="Times"/>
        </w:rPr>
        <w:t>ti</w:t>
      </w:r>
      <w:r w:rsidRPr="009A6BD2">
        <w:rPr>
          <w:rFonts w:ascii="Times" w:hAnsi="Times New Roman" w:cs="Times"/>
        </w:rPr>
        <w:softHyphen/>
      </w:r>
      <w:r w:rsidRPr="009A6BD2">
        <w:rPr>
          <w:rFonts w:ascii="Times New Roman" w:hAnsi="Times New Roman" w:cs="Times"/>
        </w:rPr>
        <w:t>ves. Pour pouvoir réduire le totémisme au fétichisme, il faudrait avoir établi que le second est antérieur au premier ; or, non seulement o</w:t>
      </w:r>
      <w:r w:rsidRPr="009A6BD2">
        <w:rPr>
          <w:rFonts w:ascii="Times New Roman" w:hAnsi="Times New Roman" w:cs="Times"/>
        </w:rPr>
        <w:t>n n'allègue aucun fait pour démontrer cette hypothèse, mais encore elle est contredite par tout ce que nous savons. L'ensemble, mal déterminé, de rites que l'on appelle fétichisme, semble bien n'apparaître que chez des peuples qui sont déjà parvenus à un c</w:t>
      </w:r>
      <w:r w:rsidRPr="009A6BD2">
        <w:rPr>
          <w:rFonts w:ascii="Times New Roman" w:hAnsi="Times New Roman" w:cs="Times"/>
        </w:rPr>
        <w:t>ertain degré de civilisation; c'est un genre de culte inconnu en Australie. On a, il est vrai, qualifié le churinga de fétiche </w:t>
      </w:r>
      <w:r w:rsidRPr="009A6BD2">
        <w:rPr>
          <w:rStyle w:val="Rimandonotaapidipagina"/>
          <w:rFonts w:ascii="Times" w:hAnsi="Times New Roman" w:cs="Times"/>
        </w:rPr>
        <w:footnoteReference w:id="365"/>
      </w:r>
      <w:r w:rsidRPr="009A6BD2">
        <w:rPr>
          <w:rFonts w:ascii="Times New Roman" w:hAnsi="Times New Roman" w:cs="Times"/>
        </w:rPr>
        <w:t xml:space="preserve"> ; mais, à supposer que cette qualifi</w:t>
      </w:r>
      <w:r w:rsidRPr="009A6BD2">
        <w:rPr>
          <w:rFonts w:ascii="Times" w:hAnsi="Times New Roman" w:cs="Times"/>
        </w:rPr>
        <w:softHyphen/>
      </w:r>
      <w:r w:rsidRPr="009A6BD2">
        <w:rPr>
          <w:rFonts w:ascii="Times New Roman" w:hAnsi="Times New Roman" w:cs="Times"/>
        </w:rPr>
        <w:t>ca</w:t>
      </w:r>
      <w:r w:rsidRPr="009A6BD2">
        <w:rPr>
          <w:rFonts w:ascii="Times" w:hAnsi="Times New Roman" w:cs="Times"/>
        </w:rPr>
        <w:softHyphen/>
      </w:r>
      <w:r w:rsidRPr="009A6BD2">
        <w:rPr>
          <w:rFonts w:ascii="Times New Roman" w:hAnsi="Times New Roman" w:cs="Times"/>
        </w:rPr>
        <w:t>tion soit justifiée, elle ne saurait prouver l'antériorité qu'on postule. Tout au con</w:t>
      </w:r>
      <w:r w:rsidRPr="009A6BD2">
        <w:rPr>
          <w:rFonts w:ascii="Times" w:hAnsi="Times New Roman" w:cs="Times"/>
        </w:rPr>
        <w:softHyphen/>
      </w:r>
      <w:r w:rsidRPr="009A6BD2">
        <w:rPr>
          <w:rFonts w:ascii="Times New Roman" w:hAnsi="Times New Roman" w:cs="Times"/>
        </w:rPr>
        <w:t>t</w:t>
      </w:r>
      <w:r w:rsidRPr="009A6BD2">
        <w:rPr>
          <w:rFonts w:ascii="Times New Roman" w:hAnsi="Times New Roman" w:cs="Times"/>
        </w:rPr>
        <w:t>raire, le churinga suppose le totémisme, puisqu'il est essentiellement un instrument du culte totémique et qu'il doit aux seules croyances totémiques les vertus qui lui sont attribuées.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Quant à la théorie de Frazer, elle suppose chez le primitif une sorte</w:t>
      </w:r>
      <w:r w:rsidRPr="009A6BD2">
        <w:rPr>
          <w:rFonts w:ascii="Times New Roman" w:hAnsi="Times New Roman" w:cs="Times"/>
        </w:rPr>
        <w:t xml:space="preserve"> d'absurdité foncière que les faits connus ne permettent pas de lui prêter. Il a une logique, si étrange qu'elle puisse parfois nous paraître : or, à moins d'en être totalement dépourvu, il ne pouvait commettre le raisonnement qu'on lui impute. Qu'il ait c</w:t>
      </w:r>
      <w:r w:rsidRPr="009A6BD2">
        <w:rPr>
          <w:rFonts w:ascii="Times New Roman" w:hAnsi="Times New Roman" w:cs="Times"/>
        </w:rPr>
        <w:t>ru assurer la survie de son âme en la dissimulant dans un endroit secret et inaccessible, comme sont censés l'avoir fait tant de héros des mythes et des contes, rien n'était plus naturel. Mais comment eut-il pu la juger plus en sûreté dans le corps d'un an</w:t>
      </w:r>
      <w:r w:rsidRPr="009A6BD2">
        <w:rPr>
          <w:rFonts w:ascii="Times New Roman" w:hAnsi="Times New Roman" w:cs="Times"/>
        </w:rPr>
        <w:t>imal que dans le sien propre ? Sans doute, ainsi perdue dans l'espèce, elle pouvait avoir quelques chances d'échapper plus facilement aux sortilèges du magicien, mais, en même temps, elle se trouvait toute désignée aux coups des chasseurs. C'était un singu</w:t>
      </w:r>
      <w:r w:rsidRPr="009A6BD2">
        <w:rPr>
          <w:rFonts w:ascii="Times New Roman" w:hAnsi="Times New Roman" w:cs="Times"/>
        </w:rPr>
        <w:t>lier moyen de la mettre à l'abri que de l'envelopper d'une forme matérielle qui l'exposait à des risques de tous les instants </w:t>
      </w:r>
      <w:r w:rsidRPr="009A6BD2">
        <w:rPr>
          <w:rStyle w:val="Rimandonotaapidipagina"/>
          <w:rFonts w:ascii="Times" w:hAnsi="Times New Roman" w:cs="Times"/>
        </w:rPr>
        <w:footnoteReference w:id="366"/>
      </w:r>
      <w:r w:rsidRPr="009A6BD2">
        <w:rPr>
          <w:rFonts w:ascii="Times New Roman" w:hAnsi="Times New Roman" w:cs="Times"/>
        </w:rPr>
        <w:t>. Surtout, il est inconcevable que des peuples entiers aient pu se laisser aller à une semblable aberration </w:t>
      </w:r>
      <w:r w:rsidRPr="009A6BD2">
        <w:rPr>
          <w:rStyle w:val="Rimandonotaapidipagina"/>
          <w:rFonts w:ascii="Times" w:hAnsi="Times New Roman" w:cs="Times"/>
        </w:rPr>
        <w:footnoteReference w:id="367"/>
      </w:r>
      <w:r w:rsidRPr="009A6BD2">
        <w:rPr>
          <w:rFonts w:ascii="Times New Roman" w:hAnsi="Times New Roman" w:cs="Times"/>
        </w:rPr>
        <w:t>. Enfin dans un très</w:t>
      </w:r>
      <w:r w:rsidRPr="009A6BD2">
        <w:rPr>
          <w:rFonts w:ascii="Times New Roman" w:hAnsi="Times New Roman" w:cs="Times"/>
        </w:rPr>
        <w:t xml:space="preserve"> grand nombre de cas, la fonction du totem individuel est manifestement très différente de celle que lui attribue Frazer : c'est, avant tout, un moyen de conférer à des magiciens, à des chasseurs, à des guerriers, des pou</w:t>
      </w:r>
      <w:r w:rsidRPr="009A6BD2">
        <w:rPr>
          <w:rFonts w:ascii="Times" w:hAnsi="Times New Roman" w:cs="Times"/>
        </w:rPr>
        <w:softHyphen/>
      </w:r>
      <w:r w:rsidRPr="009A6BD2">
        <w:rPr>
          <w:rFonts w:ascii="Times New Roman" w:hAnsi="Times New Roman" w:cs="Times"/>
        </w:rPr>
        <w:t>voirs extraordinaires </w:t>
      </w:r>
      <w:r w:rsidRPr="009A6BD2">
        <w:rPr>
          <w:rStyle w:val="Rimandonotaapidipagina"/>
          <w:rFonts w:ascii="Times" w:hAnsi="Times New Roman" w:cs="Times"/>
        </w:rPr>
        <w:footnoteReference w:id="368"/>
      </w:r>
      <w:r w:rsidRPr="009A6BD2">
        <w:rPr>
          <w:rFonts w:ascii="Times New Roman" w:hAnsi="Times New Roman" w:cs="Times"/>
        </w:rPr>
        <w:t>. Quant à l</w:t>
      </w:r>
      <w:r w:rsidRPr="009A6BD2">
        <w:rPr>
          <w:rFonts w:ascii="Times New Roman" w:hAnsi="Times New Roman" w:cs="Times"/>
        </w:rPr>
        <w:t>a solidarité de l'homme et de la chose, avec tous les inconvé</w:t>
      </w:r>
      <w:r w:rsidRPr="009A6BD2">
        <w:rPr>
          <w:rFonts w:ascii="Times" w:hAnsi="Times New Roman" w:cs="Times"/>
        </w:rPr>
        <w:softHyphen/>
      </w:r>
      <w:r w:rsidRPr="009A6BD2">
        <w:rPr>
          <w:rFonts w:ascii="Times New Roman" w:hAnsi="Times New Roman" w:cs="Times"/>
        </w:rPr>
        <w:t>nients qu'elle implique, elle est acceptée comme une conséquence forcée du rite; mais elle n'est pas voulue en elle-même et pour elle-même.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d'autant moins lieu de nous attarder à cette c</w:t>
      </w:r>
      <w:r w:rsidRPr="009A6BD2">
        <w:rPr>
          <w:rFonts w:ascii="Times New Roman" w:hAnsi="Times New Roman" w:cs="Times"/>
        </w:rPr>
        <w:t>ontroverse que là n'est pas le véritable problème. Ce qu'il importe avant tout de savoir, c'est si le totem individuel est réellement le fait primitif dont le totem collectif serait dérivé ; car, suivant la réponse que nous ferons à cette question, nous de</w:t>
      </w:r>
      <w:r w:rsidRPr="009A6BD2">
        <w:rPr>
          <w:rFonts w:ascii="Times New Roman" w:hAnsi="Times New Roman" w:cs="Times"/>
        </w:rPr>
        <w:t>vrons chercher le foyer de la vie religieuse dans deux directions oppo</w:t>
      </w:r>
      <w:r w:rsidRPr="009A6BD2">
        <w:rPr>
          <w:rFonts w:ascii="Times" w:hAnsi="Times New Roman" w:cs="Times"/>
        </w:rPr>
        <w:softHyphen/>
      </w:r>
      <w:r w:rsidRPr="009A6BD2">
        <w:rPr>
          <w:rFonts w:ascii="Times New Roman" w:hAnsi="Times New Roman" w:cs="Times"/>
        </w:rPr>
        <w:t>sées.</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Or, contre l'hypothèse de Hill Tout, de Miss Fletcher, de Boas, de Frazer, il y a un tel concours de faits décisifs que l'on est surpris qu'elle ait pu être si facilement et si g</w:t>
      </w:r>
      <w:r w:rsidRPr="009A6BD2">
        <w:rPr>
          <w:rFonts w:ascii="Times New Roman" w:hAnsi="Times New Roman" w:cs="Times"/>
        </w:rPr>
        <w:t>énérale</w:t>
      </w:r>
      <w:r w:rsidRPr="009A6BD2">
        <w:rPr>
          <w:rFonts w:ascii="Times" w:hAnsi="Times New Roman" w:cs="Times"/>
        </w:rPr>
        <w:softHyphen/>
      </w:r>
      <w:r w:rsidRPr="009A6BD2">
        <w:rPr>
          <w:rFonts w:ascii="Times New Roman" w:hAnsi="Times New Roman" w:cs="Times"/>
        </w:rPr>
        <w:t>ment acceptée.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Tout d'abord, nous savons que l'homme a très souvent un intérêt pressant non seulement à respecter, mais à faire respecter de ses compagnons les animaux de l'espèce qui lui sert de totem personnel; il y va de sa propre vie. Si donc </w:t>
      </w:r>
      <w:r w:rsidRPr="009A6BD2">
        <w:rPr>
          <w:rFonts w:ascii="Times New Roman" w:hAnsi="Times New Roman" w:cs="Times"/>
        </w:rPr>
        <w:t xml:space="preserve">le totémisme collectif n'était que la forme généralisée du totémisme individuel, il devrait reposer sur le même principe. Non seulement les gens d'un clan devraient s'abstenir de tuer et de manger de leur animal-totem, mais encore ils devraient faire tout </w:t>
      </w:r>
      <w:r w:rsidRPr="009A6BD2">
        <w:rPr>
          <w:rFonts w:ascii="Times New Roman" w:hAnsi="Times New Roman" w:cs="Times"/>
        </w:rPr>
        <w:t>ce qui est en eux pour réclamer des étrangers la même abstention. Or, en fait, bien loin d'imposer ce renoncement à toute la tribu, chaque clan, au moyen de rites que nous décrirons plus loin, veille à ce que la plante ou l'animal dont il porte le nom croi</w:t>
      </w:r>
      <w:r w:rsidRPr="009A6BD2">
        <w:rPr>
          <w:rFonts w:ascii="Times New Roman" w:hAnsi="Times New Roman" w:cs="Times"/>
        </w:rPr>
        <w:t>sse et prospère, afin d'assurer aux autres clans une alimentation abondante. Il faudrait donc, tout au moins, admettre qu'en devenant collectif le totémisme individuel s'est profondément transformé et il faudrait rendre compte de cette transformation.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En </w:t>
      </w:r>
      <w:r w:rsidRPr="009A6BD2">
        <w:rPr>
          <w:rFonts w:ascii="Times New Roman" w:hAnsi="Times New Roman" w:cs="Times"/>
        </w:rPr>
        <w:t>second lieu, comment expliquer de ce point de vue que, sauf là où le totémisme est en voie de décadence, deux clans d'une même tribu aient toujours des totems différents ? Rien n'empêchait, semble-t-il, deux ou plusieurs membres d'une même tribu, alors mêm</w:t>
      </w:r>
      <w:r w:rsidRPr="009A6BD2">
        <w:rPr>
          <w:rFonts w:ascii="Times New Roman" w:hAnsi="Times New Roman" w:cs="Times"/>
        </w:rPr>
        <w:t>e qu'il n'y avait entre eux aucune parenté, de choisir leur totem personnel dans la même espèce animale et de le transmettre ensuite à leurs descendants. N'arrive-t-il pas aujourd'hui que deux famil</w:t>
      </w:r>
      <w:r w:rsidRPr="009A6BD2">
        <w:rPr>
          <w:rFonts w:ascii="Times" w:hAnsi="Times New Roman" w:cs="Times"/>
        </w:rPr>
        <w:softHyphen/>
      </w:r>
      <w:r w:rsidRPr="009A6BD2">
        <w:rPr>
          <w:rFonts w:ascii="Times New Roman" w:hAnsi="Times New Roman" w:cs="Times"/>
        </w:rPr>
        <w:t>les distinctes portent le même nom ? La manière, strictem</w:t>
      </w:r>
      <w:r w:rsidRPr="009A6BD2">
        <w:rPr>
          <w:rFonts w:ascii="Times New Roman" w:hAnsi="Times New Roman" w:cs="Times"/>
        </w:rPr>
        <w:t xml:space="preserve">ent réglementée, dont totems et sous-totems sont répartis entre les deux phratries d'abord, puis entre les divers clans de chaque phratrie, suppose manifestement une entente sociale, une organisation collective. C'est dire que le totémisme est autre chose </w:t>
      </w:r>
      <w:r w:rsidRPr="009A6BD2">
        <w:rPr>
          <w:rFonts w:ascii="Times New Roman" w:hAnsi="Times New Roman" w:cs="Times"/>
        </w:rPr>
        <w:t>qu'une pratique individuelle qui se serait sponta</w:t>
      </w:r>
      <w:r w:rsidRPr="009A6BD2">
        <w:rPr>
          <w:rFonts w:ascii="Times" w:hAnsi="Times New Roman" w:cs="Times"/>
        </w:rPr>
        <w:softHyphen/>
      </w:r>
      <w:r w:rsidRPr="009A6BD2">
        <w:rPr>
          <w:rFonts w:ascii="Times New Roman" w:hAnsi="Times New Roman" w:cs="Times"/>
        </w:rPr>
        <w:t>né</w:t>
      </w:r>
      <w:r w:rsidRPr="009A6BD2">
        <w:rPr>
          <w:rFonts w:ascii="Times" w:hAnsi="Times New Roman" w:cs="Times"/>
        </w:rPr>
        <w:softHyphen/>
      </w:r>
      <w:r w:rsidRPr="009A6BD2">
        <w:rPr>
          <w:rFonts w:ascii="Times New Roman" w:hAnsi="Times New Roman" w:cs="Times"/>
        </w:rPr>
        <w:t>ment généralisée. D'ailleurs, on ne peut ramener le totémisme collectif au totémisme individuel qu'à condition de méconnaître les différences qui les séparent. Le premier est désigné à l'enfant par sa na</w:t>
      </w:r>
      <w:r w:rsidRPr="009A6BD2">
        <w:rPr>
          <w:rFonts w:ascii="Times New Roman" w:hAnsi="Times New Roman" w:cs="Times"/>
        </w:rPr>
        <w:t xml:space="preserve">issance; c'est un élément de son état civil. L'autre est acquis au cours de la vie; il suppose l'accomplissement d'un rite déterminé et un changement d'état. On croit diminuer la distance en insérant entre eux, comme une sorte de moyen terme, le droit que </w:t>
      </w:r>
      <w:r w:rsidRPr="009A6BD2">
        <w:rPr>
          <w:rFonts w:ascii="Times New Roman" w:hAnsi="Times New Roman" w:cs="Times"/>
        </w:rPr>
        <w:t>tout détenteur d'un totem aurait de le transmettre à qui il lui plaît. Mais ces transferts, partout oh on les observe, sont des actes rares, relativement exceptionnels; ils ne peuvent être opérés que par des magiciens ou des personnages investis de pouvoir</w:t>
      </w:r>
      <w:r w:rsidRPr="009A6BD2">
        <w:rPr>
          <w:rFonts w:ascii="Times New Roman" w:hAnsi="Times New Roman" w:cs="Times"/>
        </w:rPr>
        <w:t>s spéciaux </w:t>
      </w:r>
      <w:r w:rsidRPr="009A6BD2">
        <w:rPr>
          <w:rStyle w:val="Rimandonotaapidipagina"/>
          <w:rFonts w:ascii="Times" w:hAnsi="Times New Roman" w:cs="Times"/>
        </w:rPr>
        <w:footnoteReference w:id="369"/>
      </w:r>
      <w:r w:rsidRPr="009A6BD2">
        <w:rPr>
          <w:rFonts w:ascii="Times New Roman" w:hAnsi="Times New Roman" w:cs="Times"/>
        </w:rPr>
        <w:t xml:space="preserve">; en tout cas, ils ne peuvent avoir lieu qu'au moyen de cérémonies rituelles qui effectuent la mutation. Il faudrait donc expliquer comment ce qui était la prérogative de quelques-uns est devenu le droit de tous; comment ce qui impliquait tout </w:t>
      </w:r>
      <w:r w:rsidRPr="009A6BD2">
        <w:rPr>
          <w:rFonts w:ascii="Times New Roman" w:hAnsi="Times New Roman" w:cs="Times"/>
        </w:rPr>
        <w:t>d'abord un changement profond dans la constitution religieuse et morale de l'individu a pu devenir un élément de cette constitution; comment enfin une transmission qui, primitivement, était la conséquence d'un rite, a été ensuite censée se produire d'elle-</w:t>
      </w:r>
      <w:r w:rsidRPr="009A6BD2">
        <w:rPr>
          <w:rFonts w:ascii="Times New Roman" w:hAnsi="Times New Roman" w:cs="Times"/>
        </w:rPr>
        <w:t>même, par la force des choses et sans l'intervention d'aucune volonté humaine.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 l'appui de son interprétation, Hill Tout allègue que certains mythes attribuent au totem de clan une origine individuelle : on y raconte que l'emblème totémique fut acquis pa</w:t>
      </w:r>
      <w:r w:rsidRPr="009A6BD2">
        <w:rPr>
          <w:rFonts w:ascii="Times New Roman" w:hAnsi="Times New Roman" w:cs="Times"/>
        </w:rPr>
        <w:t>r un individu déterminé qui l'aurait ensuite transmis à ses descendants. Mais tout d'abord, ces mythes sont empruntés aux tribus indiennes de l'Amérique du Nord, c'est-à-dire à des sociétés qui sont parvenues à un assez haut degré de culture. Comment une m</w:t>
      </w:r>
      <w:r w:rsidRPr="009A6BD2">
        <w:rPr>
          <w:rFonts w:ascii="Times New Roman" w:hAnsi="Times New Roman" w:cs="Times"/>
        </w:rPr>
        <w:t>ythologie aussi éloignée des origines permettrait-elle de reconstituer, avec quelque assurance, la forme primitive d'une institution ? Il y a bien des chances pour que des causes intercurrentes aient gravement défiguré le souvenir que les hommes en avaient</w:t>
      </w:r>
      <w:r w:rsidRPr="009A6BD2">
        <w:rPr>
          <w:rFonts w:ascii="Times New Roman" w:hAnsi="Times New Roman" w:cs="Times"/>
        </w:rPr>
        <w:t xml:space="preserve"> pu conserver. D'ailleurs, à ces mythes, il est trop facile d'en opposer d'autres qui semblent bien être plus primitifs et dont la signification est toute différente. Le totem y est représenté comme l'être même de qui le clan est descendu. C'est donc qu'il</w:t>
      </w:r>
      <w:r w:rsidRPr="009A6BD2">
        <w:rPr>
          <w:rFonts w:ascii="Times New Roman" w:hAnsi="Times New Roman" w:cs="Times"/>
        </w:rPr>
        <w:t xml:space="preserve"> constitue la substance du clan; les individus le portent en eux-mêmes dès leur naissance ; il fait partie de leur chair et de leur sang, bien loin qu'ils l'aient reçu du dehors </w:t>
      </w:r>
      <w:r w:rsidRPr="009A6BD2">
        <w:rPr>
          <w:rStyle w:val="Rimandonotaapidipagina"/>
          <w:rFonts w:ascii="Times" w:hAnsi="Times New Roman" w:cs="Times"/>
        </w:rPr>
        <w:footnoteReference w:id="370"/>
      </w:r>
      <w:r w:rsidRPr="009A6BD2">
        <w:rPr>
          <w:rFonts w:ascii="Times New Roman" w:hAnsi="Times New Roman" w:cs="Times"/>
        </w:rPr>
        <w:t>. Il y a plus : les mythes sur lesquels s'appuie Hill Tout contiennent eux-mê</w:t>
      </w:r>
      <w:r w:rsidRPr="009A6BD2">
        <w:rPr>
          <w:rFonts w:ascii="Times New Roman" w:hAnsi="Times New Roman" w:cs="Times"/>
        </w:rPr>
        <w:t xml:space="preserve">mes un écho de cette ancienne conception. Le fondateur éponyme du clan y a bien une figure d'homme ; mais c'est un homme qui, après avoir vécu au milieu d'animaux d'une espèce déterminée, aurait fini par leur ressembler. C'est sans doute qu'un moment vint </w:t>
      </w:r>
      <w:r w:rsidRPr="009A6BD2">
        <w:rPr>
          <w:rFonts w:ascii="Times New Roman" w:hAnsi="Times New Roman" w:cs="Times"/>
        </w:rPr>
        <w:t>où les esprits furent trop cultivés pour continuer à admettre, comme par le passé, que des hommes pussent naître d'un animal; ils remplacèrent donc l'animal ancêtre, devenu irreprésentable, par un être humain ; mais ils imaginèrent que cet homme avait acqu</w:t>
      </w:r>
      <w:r w:rsidRPr="009A6BD2">
        <w:rPr>
          <w:rFonts w:ascii="Times New Roman" w:hAnsi="Times New Roman" w:cs="Times"/>
        </w:rPr>
        <w:t>is par imitation ou par d'autres procédés, certains caractères de l'animalité. Ainsi, même cette mythologie tardive porte la marque d'une époque plus lointaine où le totem du clan n'était nullement conçu comme une sorte de création individuelle.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cett</w:t>
      </w:r>
      <w:r w:rsidRPr="009A6BD2">
        <w:rPr>
          <w:rFonts w:ascii="Times New Roman" w:hAnsi="Times New Roman" w:cs="Times"/>
        </w:rPr>
        <w:t>e hypothèse ne soulève pas seulement de graves difficultés logiques ; elle est directement contredite par les faits qui suivent.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Si le totémisme individuel était le fait initial, il devrait être d'autant plus développé et d'autant plus apparent que les so</w:t>
      </w:r>
      <w:r w:rsidRPr="009A6BD2">
        <w:rPr>
          <w:rFonts w:ascii="Times New Roman" w:hAnsi="Times New Roman" w:cs="Times"/>
        </w:rPr>
        <w:t>ciétés elles-mêmes sont plus primitives ; inversement, on devrait le voir perdre du terrain et s'effacer devant l'autre chez les peuples plus avancés. Or c'est le contraire qui est la vérité. Les tribus australiennes sont de beaucoup plus arriérées que cel</w:t>
      </w:r>
      <w:r w:rsidRPr="009A6BD2">
        <w:rPr>
          <w:rFonts w:ascii="Times New Roman" w:hAnsi="Times New Roman" w:cs="Times"/>
        </w:rPr>
        <w:t xml:space="preserve">les de l'Amérique du Nord; et cependant, l'Australie est le terrain de prédilection du totémisme collectif. </w:t>
      </w:r>
      <w:r w:rsidRPr="009A6BD2">
        <w:rPr>
          <w:rFonts w:ascii="Times New Roman" w:hAnsi="Times New Roman" w:cs="Times"/>
          <w:i/>
          <w:iCs/>
        </w:rPr>
        <w:t>Dans la grande majorité des tribus, il règne seul, tandis qu'il n'en est Pas une, à notre connaissance, où le totémisme individuel soit seul Pratiqu</w:t>
      </w:r>
      <w:r w:rsidRPr="009A6BD2">
        <w:rPr>
          <w:rFonts w:ascii="Times New Roman" w:hAnsi="Times New Roman" w:cs="Times"/>
          <w:i/>
          <w:iCs/>
        </w:rPr>
        <w:t>é</w:t>
      </w:r>
      <w:r w:rsidRPr="009A6BD2">
        <w:rPr>
          <w:rFonts w:ascii="Times New Roman" w:hAnsi="Times New Roman" w:cs="Times"/>
        </w:rPr>
        <w:t> </w:t>
      </w:r>
      <w:r w:rsidRPr="009A6BD2">
        <w:rPr>
          <w:rStyle w:val="Rimandonotaapidipagina"/>
          <w:rFonts w:ascii="Times" w:hAnsi="Times New Roman" w:cs="Times"/>
        </w:rPr>
        <w:footnoteReference w:id="371"/>
      </w:r>
      <w:r w:rsidRPr="009A6BD2">
        <w:rPr>
          <w:rFonts w:ascii="Times New Roman" w:hAnsi="Times New Roman" w:cs="Times"/>
          <w:i/>
          <w:iCs/>
        </w:rPr>
        <w:t xml:space="preserve">. </w:t>
      </w:r>
      <w:r w:rsidRPr="009A6BD2">
        <w:rPr>
          <w:rFonts w:ascii="Times New Roman" w:hAnsi="Times New Roman" w:cs="Times"/>
        </w:rPr>
        <w:t>On ne trouve ce dernier, sous une forme caractérisée, que dans un nombre infime de tribus </w:t>
      </w:r>
      <w:r w:rsidRPr="009A6BD2">
        <w:rPr>
          <w:rStyle w:val="Rimandonotaapidipagina"/>
          <w:rFonts w:ascii="Times" w:hAnsi="Times New Roman" w:cs="Times"/>
        </w:rPr>
        <w:footnoteReference w:id="372"/>
      </w:r>
      <w:r w:rsidRPr="009A6BD2">
        <w:rPr>
          <w:rFonts w:ascii="Times New Roman" w:hAnsi="Times New Roman" w:cs="Times"/>
        </w:rPr>
        <w:t>. Là même où il se rencontre, ce n'est le plus souvent qu'à l'état rudimentaire. Il consiste alors en pratiques individuelles et facultatives, mais qui n'ont au</w:t>
      </w:r>
      <w:r w:rsidRPr="009A6BD2">
        <w:rPr>
          <w:rFonts w:ascii="Times New Roman" w:hAnsi="Times New Roman" w:cs="Times"/>
        </w:rPr>
        <w:t>cun caractère de généralité. Seuls, les magi</w:t>
      </w:r>
      <w:r w:rsidRPr="009A6BD2">
        <w:rPr>
          <w:rFonts w:ascii="Times" w:hAnsi="Times New Roman" w:cs="Times"/>
        </w:rPr>
        <w:softHyphen/>
      </w:r>
      <w:r w:rsidRPr="009A6BD2">
        <w:rPr>
          <w:rFonts w:ascii="Times New Roman" w:hAnsi="Times New Roman" w:cs="Times"/>
        </w:rPr>
        <w:t>ciens connaissent l'art de nouer des relations mystérieuses avec des espèces animales aux</w:t>
      </w:r>
      <w:r w:rsidRPr="009A6BD2">
        <w:rPr>
          <w:rFonts w:ascii="Times" w:hAnsi="Times New Roman" w:cs="Times"/>
        </w:rPr>
        <w:softHyphen/>
      </w:r>
      <w:r w:rsidRPr="009A6BD2">
        <w:rPr>
          <w:rFonts w:ascii="Times New Roman" w:hAnsi="Times New Roman" w:cs="Times"/>
        </w:rPr>
        <w:t>quelles ils ne sont pas naturellement apparentés. Les gens du commun ne jouissent pas de ce privilège </w:t>
      </w:r>
      <w:r w:rsidRPr="009A6BD2">
        <w:rPr>
          <w:rStyle w:val="Rimandonotaapidipagina"/>
          <w:rFonts w:ascii="Times" w:hAnsi="Times New Roman" w:cs="Times"/>
        </w:rPr>
        <w:footnoteReference w:id="373"/>
      </w:r>
      <w:r w:rsidRPr="009A6BD2">
        <w:rPr>
          <w:rFonts w:ascii="Times New Roman" w:hAnsi="Times New Roman" w:cs="Times"/>
        </w:rPr>
        <w:t>. Au contraire, en</w:t>
      </w:r>
      <w:r w:rsidRPr="009A6BD2">
        <w:rPr>
          <w:rFonts w:ascii="Times New Roman" w:hAnsi="Times New Roman" w:cs="Times"/>
        </w:rPr>
        <w:t xml:space="preserve"> Amérique, le totem collectif est en pleine décadence ; dans les sociétés du Nord-Ouest notamment, il n'a plus qu'un caractère religieux assez effacé. Inversement, chez ces mêmes peuples, le totem individuel joue un rôle considérable. On lui attribue une t</w:t>
      </w:r>
      <w:r w:rsidRPr="009A6BD2">
        <w:rPr>
          <w:rFonts w:ascii="Times New Roman" w:hAnsi="Times New Roman" w:cs="Times"/>
        </w:rPr>
        <w:t>rès grande efficacité ; il est devenu une véritable institution publique. C'est donc qu'il est caractéristique d'une civilisation plus avancée. Voilà, sans doute, comment s'expli</w:t>
      </w:r>
      <w:r w:rsidRPr="009A6BD2">
        <w:rPr>
          <w:rFonts w:ascii="Times" w:hAnsi="Times New Roman" w:cs="Times"/>
        </w:rPr>
        <w:softHyphen/>
      </w:r>
      <w:r w:rsidRPr="009A6BD2">
        <w:rPr>
          <w:rFonts w:ascii="Times New Roman" w:hAnsi="Times New Roman" w:cs="Times"/>
        </w:rPr>
        <w:t xml:space="preserve">que l'inversion que Hill Tout croit avoir observée chez les Salish entre ces </w:t>
      </w:r>
      <w:r w:rsidRPr="009A6BD2">
        <w:rPr>
          <w:rFonts w:ascii="Times New Roman" w:hAnsi="Times New Roman" w:cs="Times"/>
        </w:rPr>
        <w:t>deux formes de totémisme. Si, là où le totémisme collectif est pleinement développé, l'autre fait presque complètement défaut, ce n'est pas parce que le second a reculé devant le premier ; c'est, au contraire, parce que les conditions nécessaires à son exi</w:t>
      </w:r>
      <w:r w:rsidRPr="009A6BD2">
        <w:rPr>
          <w:rFonts w:ascii="Times New Roman" w:hAnsi="Times New Roman" w:cs="Times"/>
        </w:rPr>
        <w:t>stence ne sont pas pleinement réalisées.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 qui est plus démonstratif encore, c'est que le totémisme individuel, loin d'avoir donné naissance au totémisme de clan, suppose ce dernier. C'est dans les cadres du toté</w:t>
      </w:r>
      <w:r w:rsidRPr="009A6BD2">
        <w:rPr>
          <w:rFonts w:ascii="Times" w:hAnsi="Times New Roman" w:cs="Times"/>
        </w:rPr>
        <w:softHyphen/>
      </w:r>
      <w:r w:rsidRPr="009A6BD2">
        <w:rPr>
          <w:rFonts w:ascii="Times New Roman" w:hAnsi="Times New Roman" w:cs="Times"/>
        </w:rPr>
        <w:t>mis</w:t>
      </w:r>
      <w:r w:rsidRPr="009A6BD2">
        <w:rPr>
          <w:rFonts w:ascii="Times" w:hAnsi="Times New Roman" w:cs="Times"/>
        </w:rPr>
        <w:softHyphen/>
      </w:r>
      <w:r w:rsidRPr="009A6BD2">
        <w:rPr>
          <w:rFonts w:ascii="Times New Roman" w:hAnsi="Times New Roman" w:cs="Times"/>
        </w:rPr>
        <w:t>me collectif qu'il a pris naissa</w:t>
      </w:r>
      <w:r w:rsidRPr="009A6BD2">
        <w:rPr>
          <w:rFonts w:ascii="Times New Roman" w:hAnsi="Times New Roman" w:cs="Times"/>
        </w:rPr>
        <w:t>nce et qu'il se meut: il en fait partie intégrante. En effet, dans les sociétés mêmes où il est prépondérant, les novices n'ont pas le droit de prendre pour totem personnel un animal quelconque ; mais à chaque clan sont assignées un certain nombre d'espèce</w:t>
      </w:r>
      <w:r w:rsidRPr="009A6BD2">
        <w:rPr>
          <w:rFonts w:ascii="Times New Roman" w:hAnsi="Times New Roman" w:cs="Times"/>
        </w:rPr>
        <w:t>s déterminées en dehors desquelles il n'est pas permis de choisir. En revanche, celles qui lui appartiennent ainsi sont sa propriété exclusive ; les membres d'un clan étranger ne peuvent les usurper </w:t>
      </w:r>
      <w:r w:rsidRPr="009A6BD2">
        <w:rPr>
          <w:rStyle w:val="Rimandonotaapidipagina"/>
          <w:rFonts w:ascii="Times" w:hAnsi="Times New Roman" w:cs="Times"/>
        </w:rPr>
        <w:footnoteReference w:id="374"/>
      </w:r>
      <w:r w:rsidRPr="009A6BD2">
        <w:rPr>
          <w:rFonts w:ascii="Times New Roman" w:hAnsi="Times New Roman" w:cs="Times"/>
        </w:rPr>
        <w:t>. Elles sont conçues comme soutenant des rapports d'étro</w:t>
      </w:r>
      <w:r w:rsidRPr="009A6BD2">
        <w:rPr>
          <w:rFonts w:ascii="Times New Roman" w:hAnsi="Times New Roman" w:cs="Times"/>
        </w:rPr>
        <w:t>ite dépendance avec celle qui sert de totem au clan tout entier. Il y a même des cas où il est possible d'apercevoir ces rapports : le totem individuel représente une partie ou un aspect particulier du totem collectif </w:t>
      </w:r>
      <w:r w:rsidRPr="009A6BD2">
        <w:rPr>
          <w:rStyle w:val="Rimandonotaapidipagina"/>
          <w:rFonts w:ascii="Times" w:hAnsi="Times New Roman" w:cs="Times"/>
        </w:rPr>
        <w:footnoteReference w:id="375"/>
      </w:r>
      <w:r w:rsidRPr="009A6BD2">
        <w:rPr>
          <w:rFonts w:ascii="Times New Roman" w:hAnsi="Times New Roman" w:cs="Times"/>
        </w:rPr>
        <w:t xml:space="preserve">. Chez les Wotjobaluk, chaque membre </w:t>
      </w:r>
      <w:r w:rsidRPr="009A6BD2">
        <w:rPr>
          <w:rFonts w:ascii="Times New Roman" w:hAnsi="Times New Roman" w:cs="Times"/>
        </w:rPr>
        <w:t>du clan considère les totems personnels de ses compagnons comme étant un peu les siens </w:t>
      </w:r>
      <w:r w:rsidRPr="009A6BD2">
        <w:rPr>
          <w:rStyle w:val="Rimandonotaapidipagina"/>
          <w:rFonts w:ascii="Times" w:hAnsi="Times New Roman" w:cs="Times"/>
        </w:rPr>
        <w:footnoteReference w:id="376"/>
      </w:r>
      <w:r w:rsidRPr="009A6BD2">
        <w:rPr>
          <w:rFonts w:ascii="Times New Roman" w:hAnsi="Times New Roman" w:cs="Times"/>
        </w:rPr>
        <w:t xml:space="preserve"> ; ce sont donc vraisemblable</w:t>
      </w:r>
      <w:r w:rsidRPr="009A6BD2">
        <w:rPr>
          <w:rFonts w:ascii="Times" w:hAnsi="Times New Roman" w:cs="Times"/>
        </w:rPr>
        <w:softHyphen/>
      </w:r>
      <w:r w:rsidRPr="009A6BD2">
        <w:rPr>
          <w:rFonts w:ascii="Times New Roman" w:hAnsi="Times New Roman" w:cs="Times"/>
        </w:rPr>
        <w:t>ment des sous-totems. Or le sous-totem suppose le totem comme l'espèce suppose le genre. Ainsi, la première forme de religion individuelle</w:t>
      </w:r>
      <w:r w:rsidRPr="009A6BD2">
        <w:rPr>
          <w:rFonts w:ascii="Times New Roman" w:hAnsi="Times New Roman" w:cs="Times"/>
        </w:rPr>
        <w:t xml:space="preserve"> que l'on rencontre dans l'histoire nous apparaît, non pas comme le principe actif de la religion publique, mais au contraire, comme un simple aspect de cette dernière. Le culte que l'individu organise pour soi-même et, en quelque sorte, dans son for intér</w:t>
      </w:r>
      <w:r w:rsidRPr="009A6BD2">
        <w:rPr>
          <w:rFonts w:ascii="Times New Roman" w:hAnsi="Times New Roman" w:cs="Times"/>
        </w:rPr>
        <w:t>ieur, loin d'être le germe du culte collectif, n'est que celui-ci approprié aux besoins de l'individu.</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7" w:name="livre_2_chap_5_3"/>
      <w:r w:rsidRPr="009A6BD2">
        <w:rPr>
          <w:rFonts w:ascii="Times New Roman" w:hAnsi="Times New Roman"/>
        </w:rPr>
        <w:t>III</w:t>
      </w:r>
    </w:p>
    <w:bookmarkEnd w:id="27"/>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Dans un plus récent travail </w:t>
      </w:r>
      <w:r w:rsidRPr="009A6BD2">
        <w:rPr>
          <w:rStyle w:val="Rimandonotaapidipagina"/>
          <w:rFonts w:ascii="Times" w:hAnsi="Times New Roman" w:cs="Times"/>
        </w:rPr>
        <w:footnoteReference w:id="377"/>
      </w:r>
      <w:r w:rsidRPr="009A6BD2">
        <w:rPr>
          <w:rFonts w:ascii="Times New Roman" w:hAnsi="Times New Roman" w:cs="Times"/>
        </w:rPr>
        <w:t>, qui lui a été suggéré par les ouvrages de Spencer et Gillen, Frazer a tent</w:t>
      </w:r>
      <w:r w:rsidRPr="009A6BD2">
        <w:rPr>
          <w:rFonts w:ascii="Times New Roman" w:hAnsi="Times New Roman" w:cs="Times"/>
        </w:rPr>
        <w:t>é de substituer une explication nouvelle du totémisme à celle qu'il avait d'abord proposée et qui vient d'être discutée. Elle repose sur ce postulat que le totémisme des Arunta est le plus primitif que nous connaissions; Frazer va même jusqu'à dire qu'il d</w:t>
      </w:r>
      <w:r w:rsidRPr="009A6BD2">
        <w:rPr>
          <w:rFonts w:ascii="Times New Roman" w:hAnsi="Times New Roman" w:cs="Times"/>
        </w:rPr>
        <w:t>iffère à peine du type vraiment et absolument originel </w:t>
      </w:r>
      <w:r w:rsidRPr="009A6BD2">
        <w:rPr>
          <w:rStyle w:val="Rimandonotaapidipagina"/>
          <w:rFonts w:ascii="Times" w:hAnsi="Times New Roman" w:cs="Times"/>
        </w:rPr>
        <w:footnoteReference w:id="37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qu'il a de singulier, c'est que les totems n'y sont attachés ni à des personnes ni à des groupes de personnes déterminés, mais à des localités. Chaque totem a, en effet, son centre en un endroit</w:t>
      </w:r>
      <w:r w:rsidRPr="009A6BD2">
        <w:rPr>
          <w:rFonts w:ascii="Times New Roman" w:hAnsi="Times New Roman" w:cs="Times"/>
        </w:rPr>
        <w:t xml:space="preserve"> défini. C'est là que sont censées résider de préférence les âmes des premiers ancêtres qui, à l'origine des temps, constituaient le groupe totémique. C'est là que se trouve le sanctuaire où sont conservés les churinga; là que se célèbre le culte. C'est au</w:t>
      </w:r>
      <w:r w:rsidRPr="009A6BD2">
        <w:rPr>
          <w:rFonts w:ascii="Times New Roman" w:hAnsi="Times New Roman" w:cs="Times"/>
        </w:rPr>
        <w:t>ssi cette distribu</w:t>
      </w:r>
      <w:r w:rsidRPr="009A6BD2">
        <w:rPr>
          <w:rFonts w:ascii="Times" w:hAnsi="Times New Roman" w:cs="Times"/>
        </w:rPr>
        <w:softHyphen/>
      </w:r>
      <w:r w:rsidRPr="009A6BD2">
        <w:rPr>
          <w:rFonts w:ascii="Times New Roman" w:hAnsi="Times New Roman" w:cs="Times"/>
        </w:rPr>
        <w:t>tion géographique des totems qui détermine la manière dont les clans se recrutent. L'enfant, en effet, a pour totem, non celui de son père ou de sa mère, mais celui qui a son centre à l'endroit où sa mère croit avoir senti les premiers s</w:t>
      </w:r>
      <w:r w:rsidRPr="009A6BD2">
        <w:rPr>
          <w:rFonts w:ascii="Times New Roman" w:hAnsi="Times New Roman" w:cs="Times"/>
        </w:rPr>
        <w:t>ymptômes de sa maternité prochaine. Car l'Arunta ignore, dit-on, le rapport précis qui unit le fait de la génération à l'acte sexuel </w:t>
      </w:r>
      <w:r w:rsidRPr="009A6BD2">
        <w:rPr>
          <w:rStyle w:val="Rimandonotaapidipagina"/>
          <w:rFonts w:ascii="Times" w:hAnsi="Times New Roman" w:cs="Times"/>
        </w:rPr>
        <w:footnoteReference w:id="379"/>
      </w:r>
      <w:r w:rsidRPr="009A6BD2">
        <w:rPr>
          <w:rFonts w:ascii="Times New Roman" w:hAnsi="Times New Roman" w:cs="Times"/>
        </w:rPr>
        <w:t xml:space="preserve"> ; il croit que toute conception est due à une sorte de fécondation mystique. Elle implique, suivant lui, qu'une âme d'anc</w:t>
      </w:r>
      <w:r w:rsidRPr="009A6BD2">
        <w:rPr>
          <w:rFonts w:ascii="Times New Roman" w:hAnsi="Times New Roman" w:cs="Times"/>
        </w:rPr>
        <w:t>être a pénétré dans le corps d'une femme et y est devenue le principe d'une vie nouvelle. Au moment donc où la femme perçoit les premiers tressaillements de l'enfant, elle s'imagine qu'une des âmes qui ont leur résidence principale à l'endroit où elle se t</w:t>
      </w:r>
      <w:r w:rsidRPr="009A6BD2">
        <w:rPr>
          <w:rFonts w:ascii="Times New Roman" w:hAnsi="Times New Roman" w:cs="Times"/>
        </w:rPr>
        <w:t>rouve vient de pénétrer en elle. Et comme l'enfant qui naît ensuite n'est autre chose que cet ancêtre réincarné, il a nécessairement le même totem ; c'est-à-dire que son clan est déterminé par la localité où il passe pour avoir été mystiquement conçu.</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Or,</w:t>
      </w:r>
      <w:r w:rsidRPr="009A6BD2">
        <w:rPr>
          <w:rFonts w:ascii="Times New Roman" w:hAnsi="Times New Roman" w:cs="Times"/>
        </w:rPr>
        <w:t xml:space="preserve"> c'est ce totémisme local qui représenterait la forme originelle du totémisme; tout au plus en serait-il séparé par une très courte étape. Voici comment Frazer en explique la genèse.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 l'instant précis où la femme se sent enceinte, elle doit penser que l'</w:t>
      </w:r>
      <w:r w:rsidRPr="009A6BD2">
        <w:rPr>
          <w:rFonts w:ascii="Times New Roman" w:hAnsi="Times New Roman" w:cs="Times"/>
        </w:rPr>
        <w:t>esprit dont elle se croit possédée lui est venu des objets qui l'entourent, et surtout d'un de ceux qui, à ce moment, attiraient son attention. Si donc elle était occupée à la collecte de quelque plante, ou si elle surveillait un animal, elle croira que l'</w:t>
      </w:r>
      <w:r w:rsidRPr="009A6BD2">
        <w:rPr>
          <w:rFonts w:ascii="Times New Roman" w:hAnsi="Times New Roman" w:cs="Times"/>
        </w:rPr>
        <w:t>âme de cet animal ou de cette plante est passée en elle. Parmi les choses auxquelles elle sera particulièrement portée à attribuer sa grossesse, se trouvent, au tout premier rang, les aliments qu'elle vient de prendre. Si elle a mangé récemment de l'émou o</w:t>
      </w:r>
      <w:r w:rsidRPr="009A6BD2">
        <w:rPr>
          <w:rFonts w:ascii="Times New Roman" w:hAnsi="Times New Roman" w:cs="Times"/>
        </w:rPr>
        <w:t>u de l'igname, elle ne mettra pas en doute qu'un émou ou qu'une igname a pris naissance en elle et s'y développe. Dans ces conditions, on s'explique que l'enfant, à son tour, soit considéré comme une sorte d'igname ou d'émou, qu'il se regarde lui-même comm</w:t>
      </w:r>
      <w:r w:rsidRPr="009A6BD2">
        <w:rPr>
          <w:rFonts w:ascii="Times New Roman" w:hAnsi="Times New Roman" w:cs="Times"/>
        </w:rPr>
        <w:t>e un congénère des animaux ou des plantes de la même espèce, qu'il leur témoigne de la sympathie et des égards, qu'il s'interdise d'en manger, etc. </w:t>
      </w:r>
      <w:r w:rsidRPr="009A6BD2">
        <w:rPr>
          <w:rStyle w:val="Rimandonotaapidipagina"/>
          <w:rFonts w:ascii="Times" w:hAnsi="Times New Roman" w:cs="Times"/>
        </w:rPr>
        <w:footnoteReference w:id="380"/>
      </w:r>
      <w:r w:rsidRPr="009A6BD2">
        <w:rPr>
          <w:rFonts w:ascii="Times New Roman" w:hAnsi="Times New Roman" w:cs="Times"/>
        </w:rPr>
        <w:t xml:space="preserve"> Dès lors, le totémisme existe dans ses traits essentiels : c'est la notion que l'indigène se fait de la gé</w:t>
      </w:r>
      <w:r w:rsidRPr="009A6BD2">
        <w:rPr>
          <w:rFonts w:ascii="Times New Roman" w:hAnsi="Times New Roman" w:cs="Times"/>
        </w:rPr>
        <w:t>néra</w:t>
      </w:r>
      <w:r w:rsidRPr="009A6BD2">
        <w:rPr>
          <w:rFonts w:ascii="Times" w:hAnsi="Times New Roman" w:cs="Times"/>
        </w:rPr>
        <w:softHyphen/>
      </w:r>
      <w:r w:rsidRPr="009A6BD2">
        <w:rPr>
          <w:rFonts w:ascii="Times New Roman" w:hAnsi="Times New Roman" w:cs="Times"/>
        </w:rPr>
        <w:t xml:space="preserve">tion qui lui aurait donné naissance, et c'est pourquoi Frazer appelle </w:t>
      </w:r>
      <w:r w:rsidRPr="009A6BD2">
        <w:rPr>
          <w:rFonts w:ascii="Times New Roman" w:hAnsi="Times New Roman" w:cs="Times"/>
          <w:i/>
          <w:iCs/>
        </w:rPr>
        <w:t xml:space="preserve">conceptionnel </w:t>
      </w:r>
      <w:r w:rsidRPr="009A6BD2">
        <w:rPr>
          <w:rFonts w:ascii="Times New Roman" w:hAnsi="Times New Roman" w:cs="Times"/>
        </w:rPr>
        <w:t>le totémisme primitif.</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C'est de ce type originel que toutes les autres formes de totémisme seraient dérivées. « Que plusieurs femmes, l'une après l'autre, perçoivent </w:t>
      </w:r>
      <w:r w:rsidRPr="009A6BD2">
        <w:rPr>
          <w:rFonts w:ascii="Times New Roman" w:hAnsi="Times New Roman" w:cs="Times"/>
        </w:rPr>
        <w:t>les signes prémonitoires de la maternité en un même lieu et dans les mêmes circonstances, cet endroit sera regardé comme hanté par des esprits d'une sorte particulière ; et ainsi, avec le temps, la région sera dotée de centres totémiques et sera distribuée</w:t>
      </w:r>
      <w:r w:rsidRPr="009A6BD2">
        <w:rPr>
          <w:rFonts w:ascii="Times New Roman" w:hAnsi="Times New Roman" w:cs="Times"/>
        </w:rPr>
        <w:t xml:space="preserve"> en districts totémiques </w:t>
      </w:r>
      <w:r w:rsidRPr="009A6BD2">
        <w:rPr>
          <w:rStyle w:val="Rimandonotaapidipagina"/>
          <w:rFonts w:ascii="Times" w:hAnsi="Times New Roman" w:cs="Times"/>
        </w:rPr>
        <w:footnoteReference w:id="381"/>
      </w:r>
      <w:r w:rsidRPr="009A6BD2">
        <w:rPr>
          <w:rFonts w:ascii="Times New Roman" w:hAnsi="Times New Roman" w:cs="Times"/>
        </w:rPr>
        <w:t xml:space="preserve"> ». Voilà comment le totémisme local des Arunta serait né. Pour qu'ensuite les totems se détachent de leur base territoriale, il suffira de concevoir que les âmes ancestrales, au lieu de rester immuablement fixées en un lieu déter</w:t>
      </w:r>
      <w:r w:rsidRPr="009A6BD2">
        <w:rPr>
          <w:rFonts w:ascii="Times New Roman" w:hAnsi="Times New Roman" w:cs="Times"/>
        </w:rPr>
        <w:t xml:space="preserve">miné, puissent se mouvoir librement sur toute la surface du territoire et suivent, dans leurs voyages, les hommes ou les femmes du même </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totem qu'elles. De cette façon, une femme pourra être fécondée par un esprit de son propre totem ou du totem de son ma</w:t>
      </w:r>
      <w:r w:rsidRPr="009A6BD2">
        <w:rPr>
          <w:rFonts w:ascii="Times New Roman" w:hAnsi="Times New Roman" w:cs="Times"/>
        </w:rPr>
        <w:t>ri, alors même qu'elle résidera dans un district totémique différent. Suivant qu'on imaginera que ce sont les ancêtres du mari ou les ancêtres de la femme qui suivent ainsi le jeune ménage en épiant les occasions de se réincarner, le totem de l'enfant sera</w:t>
      </w:r>
      <w:r w:rsidRPr="009A6BD2">
        <w:rPr>
          <w:rFonts w:ascii="Times New Roman" w:hAnsi="Times New Roman" w:cs="Times"/>
        </w:rPr>
        <w:t xml:space="preserve"> ou celui de son père ou celui de sa mère. En fait, c'est bien ainsi que les Gnanji et les Umbaia, d'une part, les Urabunna, de l'autre, expliquent leurs systèmes de filiation.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cette théorie, comme celle de Tylor, repose sur une pétition de principe.</w:t>
      </w:r>
      <w:r w:rsidRPr="009A6BD2">
        <w:rPr>
          <w:rFonts w:ascii="Times New Roman" w:hAnsi="Times New Roman" w:cs="Times"/>
        </w:rPr>
        <w:t xml:space="preserve"> Pour pouvoir imaginer que les âmes humaines sont des âmes d'animaux ou de plantes, il fallait déjà croire que l'homme emprunte soit au monde animal soit au monde végétal ce qu'il y a de plus essentiel en lui. Or cette croyance est précisément une de celle</w:t>
      </w:r>
      <w:r w:rsidRPr="009A6BD2">
        <w:rPr>
          <w:rFonts w:ascii="Times New Roman" w:hAnsi="Times New Roman" w:cs="Times"/>
        </w:rPr>
        <w:t>s qui sont à la base du totémisme. La poser comme une évidence, c'est donc s'accorder ce dont il faudrait rendre compte.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D'autre part, de ce point de vue, le caractère religieux du totem est entièrement inexplica</w:t>
      </w:r>
      <w:r w:rsidRPr="009A6BD2">
        <w:rPr>
          <w:rFonts w:ascii="Times" w:hAnsi="Times New Roman" w:cs="Times"/>
        </w:rPr>
        <w:softHyphen/>
      </w:r>
      <w:r w:rsidRPr="009A6BD2">
        <w:rPr>
          <w:rFonts w:ascii="Times New Roman" w:hAnsi="Times New Roman" w:cs="Times"/>
        </w:rPr>
        <w:t>ble ; car la vague croyance en une obscure</w:t>
      </w:r>
      <w:r w:rsidRPr="009A6BD2">
        <w:rPr>
          <w:rFonts w:ascii="Times New Roman" w:hAnsi="Times New Roman" w:cs="Times"/>
        </w:rPr>
        <w:t xml:space="preserve"> parenté de l'homme et de l'animal ne suffit pas à fonder un culte. Cette confusion de règnes distincts ne saurait avoir pour effet de dédoubler le monde en profane et en sacré. Il est vrai que, conséquent avec lui-même, Frazer se refuse à voir dans le tot</w:t>
      </w:r>
      <w:r w:rsidRPr="009A6BD2">
        <w:rPr>
          <w:rFonts w:ascii="Times New Roman" w:hAnsi="Times New Roman" w:cs="Times"/>
        </w:rPr>
        <w:t>émisme une religion, sous prétexte qu'il ne s'y trouve ni êtres spirituels, ni prières, ni invocations, ni offrandes, etc. Suivant lui, ce ne serait qu'un système magique; il entend par là une sorte de science grossière et erronée, un premier effort pour d</w:t>
      </w:r>
      <w:r w:rsidRPr="009A6BD2">
        <w:rPr>
          <w:rFonts w:ascii="Times New Roman" w:hAnsi="Times New Roman" w:cs="Times"/>
        </w:rPr>
        <w:t>écouvrir les lois des choses </w:t>
      </w:r>
      <w:r w:rsidRPr="009A6BD2">
        <w:rPr>
          <w:rStyle w:val="Rimandonotaapidipagina"/>
          <w:rFonts w:ascii="Times" w:hAnsi="Times New Roman" w:cs="Times"/>
        </w:rPr>
        <w:footnoteReference w:id="382"/>
      </w:r>
      <w:r w:rsidRPr="009A6BD2">
        <w:rPr>
          <w:rFonts w:ascii="Times New Roman" w:hAnsi="Times New Roman" w:cs="Times"/>
        </w:rPr>
        <w:t>. Mais nous savons ce qu'a d'inexact cette conception et de la religion et de la magie. Il y a religion dès que le sacré est distingué du profane et nous avons vu que le totémisme est un vaste système de choses sacrées. L'expl</w:t>
      </w:r>
      <w:r w:rsidRPr="009A6BD2">
        <w:rPr>
          <w:rFonts w:ascii="Times New Roman" w:hAnsi="Times New Roman" w:cs="Times"/>
        </w:rPr>
        <w:t>iquer, c'est donc faire voir d'où vient que ces choses ont été marquées de ce caractère </w:t>
      </w:r>
      <w:r w:rsidRPr="009A6BD2">
        <w:rPr>
          <w:rStyle w:val="Rimandonotaapidipagina"/>
          <w:rFonts w:ascii="Times" w:hAnsi="Times New Roman" w:cs="Times"/>
        </w:rPr>
        <w:footnoteReference w:id="383"/>
      </w:r>
      <w:r w:rsidRPr="009A6BD2">
        <w:rPr>
          <w:rFonts w:ascii="Times New Roman" w:hAnsi="Times New Roman" w:cs="Times"/>
        </w:rPr>
        <w:t>. Or le problème n'est même pas posé.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 qui achève de ruiner ce système, c'est que, aujourd'hui, le postulat sur lequel il repose n'est plus soutenable. Toute l</w:t>
      </w:r>
      <w:r w:rsidRPr="009A6BD2">
        <w:rPr>
          <w:rFonts w:ascii="Times New Roman" w:hAnsi="Times New Roman" w:cs="Times"/>
        </w:rPr>
        <w:t>'argumentation de Frazer suppose, en effet, que le totémisme local des Arunta est le plus primitif que nous connaissions, et surtout qu'il est sensi</w:t>
      </w:r>
      <w:r w:rsidRPr="009A6BD2">
        <w:rPr>
          <w:rFonts w:ascii="Times" w:hAnsi="Times New Roman" w:cs="Times"/>
        </w:rPr>
        <w:softHyphen/>
      </w:r>
      <w:r w:rsidRPr="009A6BD2">
        <w:rPr>
          <w:rFonts w:ascii="Times New Roman" w:hAnsi="Times New Roman" w:cs="Times"/>
        </w:rPr>
        <w:t>blement antérieur au totémisme héréditaire, soit en ligne paternelle, soit en ligne maternelle. Or, déjà d'</w:t>
      </w:r>
      <w:r w:rsidRPr="009A6BD2">
        <w:rPr>
          <w:rFonts w:ascii="Times New Roman" w:hAnsi="Times New Roman" w:cs="Times"/>
        </w:rPr>
        <w:t>après les seuls faits que le premier ouvrage de Spencer et Gillen mettait à notre disposition, nous avions pu conjecturer qu'il devait y avoir eu un moment dans l'histoire du peuple Arunta où les totems, au lieu d'être attachés à des localités, se trans</w:t>
      </w:r>
      <w:r w:rsidRPr="009A6BD2">
        <w:rPr>
          <w:rFonts w:ascii="Times" w:hAnsi="Times New Roman" w:cs="Times"/>
        </w:rPr>
        <w:softHyphen/>
      </w:r>
      <w:r w:rsidRPr="009A6BD2">
        <w:rPr>
          <w:rFonts w:ascii="Times New Roman" w:hAnsi="Times New Roman" w:cs="Times"/>
        </w:rPr>
        <w:t>me</w:t>
      </w:r>
      <w:r w:rsidRPr="009A6BD2">
        <w:rPr>
          <w:rFonts w:ascii="Times New Roman" w:hAnsi="Times New Roman" w:cs="Times"/>
        </w:rPr>
        <w:t>t</w:t>
      </w:r>
      <w:r w:rsidRPr="009A6BD2">
        <w:rPr>
          <w:rFonts w:ascii="Times" w:hAnsi="Times New Roman" w:cs="Times"/>
        </w:rPr>
        <w:softHyphen/>
      </w:r>
      <w:r w:rsidRPr="009A6BD2">
        <w:rPr>
          <w:rFonts w:ascii="Times New Roman" w:hAnsi="Times New Roman" w:cs="Times"/>
        </w:rPr>
        <w:t>taient héréditairement de la mère aux enfants </w:t>
      </w:r>
      <w:r w:rsidRPr="009A6BD2">
        <w:rPr>
          <w:rStyle w:val="Rimandonotaapidipagina"/>
          <w:rFonts w:ascii="Times" w:hAnsi="Times New Roman" w:cs="Times"/>
        </w:rPr>
        <w:footnoteReference w:id="384"/>
      </w:r>
      <w:r w:rsidRPr="009A6BD2">
        <w:rPr>
          <w:rFonts w:ascii="Times New Roman" w:hAnsi="Times New Roman" w:cs="Times"/>
        </w:rPr>
        <w:t>. Cette conjecture est définitivement démon</w:t>
      </w:r>
      <w:r w:rsidRPr="009A6BD2">
        <w:rPr>
          <w:rFonts w:ascii="Times" w:hAnsi="Times New Roman" w:cs="Times"/>
        </w:rPr>
        <w:softHyphen/>
      </w:r>
      <w:r w:rsidRPr="009A6BD2">
        <w:rPr>
          <w:rFonts w:ascii="Times New Roman" w:hAnsi="Times New Roman" w:cs="Times"/>
        </w:rPr>
        <w:t>trée par les faits nouveaux qu'a découverts Strehlow </w:t>
      </w:r>
      <w:r w:rsidRPr="009A6BD2">
        <w:rPr>
          <w:rStyle w:val="Rimandonotaapidipagina"/>
          <w:rFonts w:ascii="Times" w:hAnsi="Times New Roman" w:cs="Times"/>
        </w:rPr>
        <w:footnoteReference w:id="385"/>
      </w:r>
      <w:r w:rsidRPr="009A6BD2">
        <w:rPr>
          <w:rFonts w:ascii="Times New Roman" w:hAnsi="Times New Roman" w:cs="Times"/>
        </w:rPr>
        <w:t xml:space="preserve"> et qui ne font d'ailleurs que confirmer les observations antérieures de Schulze </w:t>
      </w:r>
      <w:r w:rsidRPr="009A6BD2">
        <w:rPr>
          <w:rStyle w:val="Rimandonotaapidipagina"/>
          <w:rFonts w:ascii="Times" w:hAnsi="Times New Roman" w:cs="Times"/>
        </w:rPr>
        <w:footnoteReference w:id="386"/>
      </w:r>
      <w:r w:rsidRPr="009A6BD2">
        <w:rPr>
          <w:rFonts w:ascii="Times New Roman" w:hAnsi="Times New Roman" w:cs="Times"/>
        </w:rPr>
        <w:t>. En effet, ces deux auteur</w:t>
      </w:r>
      <w:r w:rsidRPr="009A6BD2">
        <w:rPr>
          <w:rFonts w:ascii="Times New Roman" w:hAnsi="Times New Roman" w:cs="Times"/>
        </w:rPr>
        <w:t>s nous apprennent que, maintenant encore, chaque Arunta, outre son totem local, en a un autre qui est indépendant de toute condition géographique, mais qui lui appartient par droit de naissance: c'est celui de sa mère. Ce second totem, tout comme le premie</w:t>
      </w:r>
      <w:r w:rsidRPr="009A6BD2">
        <w:rPr>
          <w:rFonts w:ascii="Times New Roman" w:hAnsi="Times New Roman" w:cs="Times"/>
        </w:rPr>
        <w:t>r, est considéré par les indigènes comme une puissance amie et protectrice qui pourvoit à leur nourriture, qui les avertit des dangers possibles, etc. Ils ont le droit de participer à son culte. Quand on les enterre, on dispose le cadavre de manière à ce q</w:t>
      </w:r>
      <w:r w:rsidRPr="009A6BD2">
        <w:rPr>
          <w:rFonts w:ascii="Times New Roman" w:hAnsi="Times New Roman" w:cs="Times"/>
        </w:rPr>
        <w:t>ue le visage soit tourné vers la région où se trouve le centre totémique de la mère. C'est donc que ce centre est aussi, à quelque titre, celui du défunt. Et en effet, on lui donne le nom de tmara altjira, mot qui veut dire : camp du totem qui m'est associ</w:t>
      </w:r>
      <w:r w:rsidRPr="009A6BD2">
        <w:rPr>
          <w:rFonts w:ascii="Times New Roman" w:hAnsi="Times New Roman" w:cs="Times"/>
        </w:rPr>
        <w:t>é. Il est donc certain que, chez les Arunta, le totémisme héréditaire en ligne utérine n'est pas postérieur au totémisme local, mais, au contraire, a dû le précéder. Car le totem mater</w:t>
      </w:r>
      <w:r w:rsidRPr="009A6BD2">
        <w:rPr>
          <w:rFonts w:ascii="Times" w:hAnsi="Times New Roman" w:cs="Times"/>
        </w:rPr>
        <w:softHyphen/>
      </w:r>
      <w:r w:rsidRPr="009A6BD2">
        <w:rPr>
          <w:rFonts w:ascii="Times New Roman" w:hAnsi="Times New Roman" w:cs="Times"/>
        </w:rPr>
        <w:t>nel n'a plus aujourd'hui qu'un rôle accessoire et complé</w:t>
      </w:r>
      <w:r w:rsidRPr="009A6BD2">
        <w:rPr>
          <w:rFonts w:ascii="Times" w:hAnsi="Times New Roman" w:cs="Times"/>
        </w:rPr>
        <w:softHyphen/>
      </w:r>
      <w:r w:rsidRPr="009A6BD2">
        <w:rPr>
          <w:rFonts w:ascii="Times New Roman" w:hAnsi="Times New Roman" w:cs="Times"/>
        </w:rPr>
        <w:t>mentaire ; c'e</w:t>
      </w:r>
      <w:r w:rsidRPr="009A6BD2">
        <w:rPr>
          <w:rFonts w:ascii="Times New Roman" w:hAnsi="Times New Roman" w:cs="Times"/>
        </w:rPr>
        <w:t>st un totem second, et c'est ce qui explique qu'il ait pu échapper à des observateurs aussi attentifs et aussi avertis que Spencer et Gillen. Mais pour qu'il ait pu se maintenir ainsi au second plan, faisant double emploi avec le totem local, il faut qu'il</w:t>
      </w:r>
      <w:r w:rsidRPr="009A6BD2">
        <w:rPr>
          <w:rFonts w:ascii="Times New Roman" w:hAnsi="Times New Roman" w:cs="Times"/>
        </w:rPr>
        <w:t xml:space="preserve"> y ait eu un temps où c'était lui qui tenait la première place dans la vie reli</w:t>
      </w:r>
      <w:r w:rsidRPr="009A6BD2">
        <w:rPr>
          <w:rFonts w:ascii="Times" w:hAnsi="Times New Roman" w:cs="Times"/>
        </w:rPr>
        <w:softHyphen/>
      </w:r>
      <w:r w:rsidRPr="009A6BD2">
        <w:rPr>
          <w:rFonts w:ascii="Times New Roman" w:hAnsi="Times New Roman" w:cs="Times"/>
        </w:rPr>
        <w:t>gieuse. C'est, en partie, un totem déchu, mais qui rappelle une époque où l'organisation totémique des Arunta était très différente de ce qu'elle est aujourd'hui. Toute la cons</w:t>
      </w:r>
      <w:r w:rsidRPr="009A6BD2">
        <w:rPr>
          <w:rFonts w:ascii="Times" w:hAnsi="Times New Roman" w:cs="Times"/>
        </w:rPr>
        <w:softHyphen/>
      </w:r>
      <w:r w:rsidRPr="009A6BD2">
        <w:rPr>
          <w:rFonts w:ascii="Times New Roman" w:hAnsi="Times New Roman" w:cs="Times"/>
        </w:rPr>
        <w:t>truction de Frazer se trouve ainsi minée à sa base </w:t>
      </w:r>
      <w:r w:rsidRPr="009A6BD2">
        <w:rPr>
          <w:rStyle w:val="Rimandonotaapidipagina"/>
          <w:rFonts w:ascii="Times" w:hAnsi="Times New Roman" w:cs="Times"/>
        </w:rPr>
        <w:footnoteReference w:id="38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8" w:name="livre_2_chap_5_4"/>
      <w:r w:rsidRPr="009A6BD2">
        <w:rPr>
          <w:rFonts w:ascii="Times New Roman" w:hAnsi="Times New Roman"/>
        </w:rPr>
        <w:t>IV</w:t>
      </w:r>
    </w:p>
    <w:bookmarkEnd w:id="28"/>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Bien qu'Andrew Lang ait vivement combattu cette théorie de Frazer, celle qu'il propose dans ses derniers ouvrages </w:t>
      </w:r>
      <w:r w:rsidRPr="009A6BD2">
        <w:rPr>
          <w:rStyle w:val="Rimandonotaapidipagina"/>
          <w:rFonts w:ascii="Times" w:hAnsi="Times New Roman" w:cs="Times"/>
        </w:rPr>
        <w:footnoteReference w:id="388"/>
      </w:r>
      <w:r w:rsidRPr="009A6BD2">
        <w:rPr>
          <w:rFonts w:ascii="Times New Roman" w:hAnsi="Times New Roman" w:cs="Times"/>
        </w:rPr>
        <w:t xml:space="preserve"> s'en rapproche sur plus d'un point. C</w:t>
      </w:r>
      <w:r w:rsidRPr="009A6BD2">
        <w:rPr>
          <w:rFonts w:ascii="Times New Roman" w:hAnsi="Times New Roman" w:cs="Times"/>
        </w:rPr>
        <w:t>omme Frazer, en effet, il fait consister tout le totémisme dans la croyance en une sorte de consubstantialité de l'homme et de l'animal. Mais il l'explique autrement.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la dérive tout entière de ce fait que le totem est un nom. Dès qu'il y eut des groupe</w:t>
      </w:r>
      <w:r w:rsidRPr="009A6BD2">
        <w:rPr>
          <w:rFonts w:ascii="Times New Roman" w:hAnsi="Times New Roman" w:cs="Times"/>
        </w:rPr>
        <w:t>s humains constitués </w:t>
      </w:r>
      <w:r w:rsidRPr="009A6BD2">
        <w:rPr>
          <w:rStyle w:val="Rimandonotaapidipagina"/>
          <w:rFonts w:ascii="Times" w:hAnsi="Times New Roman" w:cs="Times"/>
        </w:rPr>
        <w:footnoteReference w:id="389"/>
      </w:r>
      <w:r w:rsidRPr="009A6BD2">
        <w:rPr>
          <w:rFonts w:ascii="Times New Roman" w:hAnsi="Times New Roman" w:cs="Times"/>
        </w:rPr>
        <w:t>, chacun d'eux aurait éprouvé le besoin de distinguer les uns des autres les groupes voisins avec lesquels il était en rapport et, dans ce but, il leur aurait donné des noms différents. Ces noms furent empruntés de préférence à la fau</w:t>
      </w:r>
      <w:r w:rsidRPr="009A6BD2">
        <w:rPr>
          <w:rFonts w:ascii="Times New Roman" w:hAnsi="Times New Roman" w:cs="Times"/>
        </w:rPr>
        <w:t>ne et à la flore environnan</w:t>
      </w:r>
      <w:r w:rsidRPr="009A6BD2">
        <w:rPr>
          <w:rFonts w:ascii="Times" w:hAnsi="Times New Roman" w:cs="Times"/>
        </w:rPr>
        <w:softHyphen/>
      </w:r>
      <w:r w:rsidRPr="009A6BD2">
        <w:rPr>
          <w:rFonts w:ascii="Times New Roman" w:hAnsi="Times New Roman" w:cs="Times"/>
        </w:rPr>
        <w:t>tes parce que des animaux et des plantes peuvent facilement être désignés au moyen de gestes ou représentés par des dessins </w:t>
      </w:r>
      <w:r w:rsidRPr="009A6BD2">
        <w:rPr>
          <w:rStyle w:val="Rimandonotaapidipagina"/>
          <w:rFonts w:ascii="Times" w:hAnsi="Times New Roman" w:cs="Times"/>
        </w:rPr>
        <w:footnoteReference w:id="390"/>
      </w:r>
      <w:r w:rsidRPr="009A6BD2">
        <w:rPr>
          <w:rFonts w:ascii="Times New Roman" w:hAnsi="Times New Roman" w:cs="Times"/>
        </w:rPr>
        <w:t>. Les ressemblances plus ou moins précises que les hommes pouvaient avoir avec tel ou tel de ces objets</w:t>
      </w:r>
      <w:r w:rsidRPr="009A6BD2">
        <w:rPr>
          <w:rFonts w:ascii="Times New Roman" w:hAnsi="Times New Roman" w:cs="Times"/>
        </w:rPr>
        <w:t xml:space="preserve"> déterminèrent la façon dont ces dénomi</w:t>
      </w:r>
      <w:r w:rsidRPr="009A6BD2">
        <w:rPr>
          <w:rFonts w:ascii="Times" w:hAnsi="Times New Roman" w:cs="Times"/>
        </w:rPr>
        <w:softHyphen/>
      </w:r>
      <w:r w:rsidRPr="009A6BD2">
        <w:rPr>
          <w:rFonts w:ascii="Times New Roman" w:hAnsi="Times New Roman" w:cs="Times"/>
        </w:rPr>
        <w:t>na</w:t>
      </w:r>
      <w:r w:rsidRPr="009A6BD2">
        <w:rPr>
          <w:rFonts w:ascii="Times" w:hAnsi="Times New Roman" w:cs="Times"/>
        </w:rPr>
        <w:softHyphen/>
      </w:r>
      <w:r w:rsidRPr="009A6BD2">
        <w:rPr>
          <w:rFonts w:ascii="Times New Roman" w:hAnsi="Times New Roman" w:cs="Times"/>
        </w:rPr>
        <w:t>tions collectives furent distribuées entre les groupes </w:t>
      </w:r>
      <w:r w:rsidRPr="009A6BD2">
        <w:rPr>
          <w:rStyle w:val="Rimandonotaapidipagina"/>
          <w:rFonts w:ascii="Times" w:hAnsi="Times New Roman" w:cs="Times"/>
        </w:rPr>
        <w:footnoteReference w:id="39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b/>
        <w:t>Or, c'est un fait connu que, « pour esprits primitifs, les noms et les choses désignées par ces noms sont unis par un rapport mystique et transcendantal </w:t>
      </w:r>
      <w:r w:rsidRPr="009A6BD2">
        <w:rPr>
          <w:rStyle w:val="Rimandonotaapidipagina"/>
          <w:rFonts w:ascii="Times" w:hAnsi="Times New Roman" w:cs="Times"/>
        </w:rPr>
        <w:footnoteReference w:id="392"/>
      </w:r>
      <w:r w:rsidRPr="009A6BD2">
        <w:rPr>
          <w:rFonts w:ascii="Times New Roman" w:hAnsi="Times New Roman" w:cs="Times"/>
        </w:rPr>
        <w:t xml:space="preserve"> ». Par exemple, le nom que porte un individu n'est pas considéré comme un simple mot, comme un signe conven</w:t>
      </w:r>
      <w:r w:rsidRPr="009A6BD2">
        <w:rPr>
          <w:rFonts w:ascii="Times" w:hAnsi="Times New Roman" w:cs="Times"/>
        </w:rPr>
        <w:softHyphen/>
      </w:r>
      <w:r w:rsidRPr="009A6BD2">
        <w:rPr>
          <w:rFonts w:ascii="Times New Roman" w:hAnsi="Times New Roman" w:cs="Times"/>
        </w:rPr>
        <w:t>tion</w:t>
      </w:r>
      <w:r w:rsidRPr="009A6BD2">
        <w:rPr>
          <w:rFonts w:ascii="Times" w:hAnsi="Times New Roman" w:cs="Times"/>
        </w:rPr>
        <w:softHyphen/>
      </w:r>
      <w:r w:rsidRPr="009A6BD2">
        <w:rPr>
          <w:rFonts w:ascii="Times New Roman" w:hAnsi="Times New Roman" w:cs="Times"/>
        </w:rPr>
        <w:t>nel, mais comme une partie essentielle de l'individu lui-même. Quand donc c'était un nom d'animal, l'homme qui le portait devait croire néces</w:t>
      </w:r>
      <w:r w:rsidRPr="009A6BD2">
        <w:rPr>
          <w:rFonts w:ascii="Times New Roman" w:hAnsi="Times New Roman" w:cs="Times"/>
        </w:rPr>
        <w:t>sairement qu'il avait lui-même les attributs les plus caractéristiques de ce même animal. Cette croyance s'accrédita d'autant plus facilement que les origines histo</w:t>
      </w:r>
      <w:r w:rsidRPr="009A6BD2">
        <w:rPr>
          <w:rFonts w:ascii="Times" w:hAnsi="Times New Roman" w:cs="Times"/>
        </w:rPr>
        <w:softHyphen/>
      </w:r>
      <w:r w:rsidRPr="009A6BD2">
        <w:rPr>
          <w:rFonts w:ascii="Times New Roman" w:hAnsi="Times New Roman" w:cs="Times"/>
        </w:rPr>
        <w:t>riques de ces dénominations devenaient plus lointaines et s'effaçaient davantage des mémoir</w:t>
      </w:r>
      <w:r w:rsidRPr="009A6BD2">
        <w:rPr>
          <w:rFonts w:ascii="Times New Roman" w:hAnsi="Times New Roman" w:cs="Times"/>
        </w:rPr>
        <w:t>es. Des mythes se formèrent pour rendre plus aisément représentable aux esprits cette étrange ambiguïté de la nature humaine. Pour l'expliquer, on imagina que l'animal était l'ancêtre de l'homme ou qu'ils étaient tous deux descendus d'un ancêtre commun. C'</w:t>
      </w:r>
      <w:r w:rsidRPr="009A6BD2">
        <w:rPr>
          <w:rFonts w:ascii="Times New Roman" w:hAnsi="Times New Roman" w:cs="Times"/>
        </w:rPr>
        <w:t>est ainsi qu'auraient été conçus les liens de parenté qui passent pour unir chaque clan à l'espèce de choses dont il porte le nom. Or les origines de cette parenté fabuleuse une fois expliquées, il semble à notre auteur que le totémisme n'ait plus de mystè</w:t>
      </w:r>
      <w:r w:rsidRPr="009A6BD2">
        <w:rPr>
          <w:rFonts w:ascii="Times New Roman" w:hAnsi="Times New Roman" w:cs="Times"/>
        </w:rPr>
        <w: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alors d'où vient le caractère religieux des croyances et des pratiques totémiques ? Car le fait que l'homme se croit un animal de telle espèce n'explique pas pourquoi il attribue à cette espèce des vertus merveilleuses, ni surtout pourquoi il ren</w:t>
      </w:r>
      <w:r w:rsidRPr="009A6BD2">
        <w:rPr>
          <w:rFonts w:ascii="Times New Roman" w:hAnsi="Times New Roman" w:cs="Times"/>
        </w:rPr>
        <w:t>d aux images qui la symbolisent un véritable culte. - A cette question, Lang fait la même réponse que Frazer : il nie que le totémisme soit une religion. « je ne trouve en Australie, dit-il, aucun exemple de pratiques religieuses telles que celles qui cons</w:t>
      </w:r>
      <w:r w:rsidRPr="009A6BD2">
        <w:rPr>
          <w:rFonts w:ascii="Times New Roman" w:hAnsi="Times New Roman" w:cs="Times"/>
        </w:rPr>
        <w:t>istent à prier, nourrir ou ensevelir le totem » </w:t>
      </w:r>
      <w:r w:rsidRPr="009A6BD2">
        <w:rPr>
          <w:rStyle w:val="Rimandonotaapidipagina"/>
          <w:rFonts w:ascii="Times" w:hAnsi="Times New Roman" w:cs="Times"/>
        </w:rPr>
        <w:footnoteReference w:id="393"/>
      </w:r>
      <w:r w:rsidRPr="009A6BD2">
        <w:rPr>
          <w:rFonts w:ascii="Times New Roman" w:hAnsi="Times New Roman" w:cs="Times"/>
        </w:rPr>
        <w:t>. Ce serait seulement à une époque ultérieure, et alors qu'il était déjà constitué, que le totémisme aurait été comme attiré et enveloppé dans un système de conceptions proprement religieuses. Suivant une re</w:t>
      </w:r>
      <w:r w:rsidRPr="009A6BD2">
        <w:rPr>
          <w:rFonts w:ascii="Times New Roman" w:hAnsi="Times New Roman" w:cs="Times"/>
        </w:rPr>
        <w:t>marque de Howitt </w:t>
      </w:r>
      <w:r w:rsidRPr="009A6BD2">
        <w:rPr>
          <w:rStyle w:val="Rimandonotaapidipagina"/>
          <w:rFonts w:ascii="Times" w:hAnsi="Times New Roman" w:cs="Times"/>
        </w:rPr>
        <w:footnoteReference w:id="394"/>
      </w:r>
      <w:r w:rsidRPr="009A6BD2">
        <w:rPr>
          <w:rFonts w:ascii="Times New Roman" w:hAnsi="Times New Roman" w:cs="Times"/>
        </w:rPr>
        <w:t>, quand les indigènes entreprennent d'expliquer les institutions totémiques, ils ne les attribuent ni aux totems eux-mêmes, ni à un homme, mais à quelque être surnaturel, tel que Bunjil ou Baiame. « Si, dit Lang, nous acceptons ce témoign</w:t>
      </w:r>
      <w:r w:rsidRPr="009A6BD2">
        <w:rPr>
          <w:rFonts w:ascii="Times New Roman" w:hAnsi="Times New Roman" w:cs="Times"/>
        </w:rPr>
        <w:t>age, une source du caractère religieux du totémisme nous est révélée. Le totémiste obéit aux décrets de Bunjil, comme les Crétois obéissaient aux décrets divins donnés par Zeus à Minos ». Or, la notion de ces grandes divinités s'est formée, suivant Lang, e</w:t>
      </w:r>
      <w:r w:rsidRPr="009A6BD2">
        <w:rPr>
          <w:rFonts w:ascii="Times New Roman" w:hAnsi="Times New Roman" w:cs="Times"/>
        </w:rPr>
        <w:t>n dehors du système totémique; celui-ci ne serait donc pas une religion par lui-même ; il n'aurait fait que se colorer de religiosité au contact d'une religion proprement dite.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ces mythes mêmes vont contre la conception que Lang se fait du totémisme</w:t>
      </w:r>
      <w:r w:rsidRPr="009A6BD2">
        <w:rPr>
          <w:rFonts w:ascii="Times New Roman" w:hAnsi="Times New Roman" w:cs="Times"/>
        </w:rPr>
        <w:t>. Si les Australiens n'avaient vu dans le totem qu'une chose humaine et profane, l'idée ne leur serait pas venue d'en faire une institution divine. Si, au contraire, ils ont éprouvé le besoin de le rapporter à une divinité, c'est qu'ils lui reconnaissent u</w:t>
      </w:r>
      <w:r w:rsidRPr="009A6BD2">
        <w:rPr>
          <w:rFonts w:ascii="Times New Roman" w:hAnsi="Times New Roman" w:cs="Times"/>
        </w:rPr>
        <w:t>n caractère sacré. Ces interprétations mythologiques démontrent donc la nature religieuse du totémisme, mais ne l'expliquent pas.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D'ailleurs, Lang se rend lui-même compte que cette solution ne saurait suffire. Il recon</w:t>
      </w:r>
      <w:r w:rsidRPr="009A6BD2">
        <w:rPr>
          <w:rFonts w:ascii="Times" w:hAnsi="Times New Roman" w:cs="Times"/>
        </w:rPr>
        <w:softHyphen/>
      </w:r>
      <w:r w:rsidRPr="009A6BD2">
        <w:rPr>
          <w:rFonts w:ascii="Times New Roman" w:hAnsi="Times New Roman" w:cs="Times"/>
        </w:rPr>
        <w:t xml:space="preserve">naît que les choses totémiques sont </w:t>
      </w:r>
      <w:r w:rsidRPr="009A6BD2">
        <w:rPr>
          <w:rFonts w:ascii="Times New Roman" w:hAnsi="Times New Roman" w:cs="Times"/>
        </w:rPr>
        <w:t>traitées avec un respect religieux </w:t>
      </w:r>
      <w:r w:rsidRPr="009A6BD2">
        <w:rPr>
          <w:rStyle w:val="Rimandonotaapidipagina"/>
          <w:rFonts w:ascii="Times" w:hAnsi="Times New Roman" w:cs="Times"/>
        </w:rPr>
        <w:footnoteReference w:id="395"/>
      </w:r>
      <w:r w:rsidRPr="009A6BD2">
        <w:rPr>
          <w:rFonts w:ascii="Times New Roman" w:hAnsi="Times New Roman" w:cs="Times"/>
        </w:rPr>
        <w:t xml:space="preserve"> ; que, notam</w:t>
      </w:r>
      <w:r w:rsidRPr="009A6BD2">
        <w:rPr>
          <w:rFonts w:ascii="Times" w:hAnsi="Times New Roman" w:cs="Times"/>
        </w:rPr>
        <w:softHyphen/>
      </w:r>
      <w:r w:rsidRPr="009A6BD2">
        <w:rPr>
          <w:rFonts w:ascii="Times New Roman" w:hAnsi="Times New Roman" w:cs="Times"/>
        </w:rPr>
        <w:t>ment, le sang de l'animal, comme, d'ailleurs, le sang de l'homme, est l'objet de multiples interdits, ou, comme il dit, de tabous que cette mythologie plus ou moins tardive ne peut expliquer </w:t>
      </w:r>
      <w:r w:rsidRPr="009A6BD2">
        <w:rPr>
          <w:rStyle w:val="Rimandonotaapidipagina"/>
          <w:rFonts w:ascii="Times" w:hAnsi="Times New Roman" w:cs="Times"/>
        </w:rPr>
        <w:footnoteReference w:id="396"/>
      </w:r>
      <w:r w:rsidRPr="009A6BD2">
        <w:rPr>
          <w:rFonts w:ascii="Times New Roman" w:hAnsi="Times New Roman" w:cs="Times"/>
        </w:rPr>
        <w:t>. Mais alors d</w:t>
      </w:r>
      <w:r w:rsidRPr="009A6BD2">
        <w:rPr>
          <w:rFonts w:ascii="Times New Roman" w:hAnsi="Times New Roman" w:cs="Times"/>
        </w:rPr>
        <w:t xml:space="preserve">'où viennent-ils ? Voici en quels termes Lang répond à cette question : « Aussitôt que les groupes à noms d'animaux eurent développé les croyances universellement répandues sur le </w:t>
      </w:r>
      <w:r w:rsidRPr="009A6BD2">
        <w:rPr>
          <w:rFonts w:ascii="Times New Roman" w:hAnsi="Times New Roman" w:cs="Times"/>
          <w:i/>
          <w:iCs/>
        </w:rPr>
        <w:t xml:space="preserve">wakan ou </w:t>
      </w:r>
      <w:r w:rsidRPr="009A6BD2">
        <w:rPr>
          <w:rFonts w:ascii="Times New Roman" w:hAnsi="Times New Roman" w:cs="Times"/>
        </w:rPr>
        <w:t xml:space="preserve">le </w:t>
      </w:r>
      <w:r w:rsidRPr="009A6BD2">
        <w:rPr>
          <w:rFonts w:ascii="Times New Roman" w:hAnsi="Times New Roman" w:cs="Times"/>
          <w:i/>
          <w:iCs/>
        </w:rPr>
        <w:t xml:space="preserve">mana, ou </w:t>
      </w:r>
      <w:r w:rsidRPr="009A6BD2">
        <w:rPr>
          <w:rFonts w:ascii="Times New Roman" w:hAnsi="Times New Roman" w:cs="Times"/>
        </w:rPr>
        <w:t>la qualité mystique et sacrée du sang, les différents t</w:t>
      </w:r>
      <w:r w:rsidRPr="009A6BD2">
        <w:rPr>
          <w:rFonts w:ascii="Times New Roman" w:hAnsi="Times New Roman" w:cs="Times"/>
        </w:rPr>
        <w:t>abous totémi</w:t>
      </w:r>
      <w:r w:rsidRPr="009A6BD2">
        <w:rPr>
          <w:rFonts w:ascii="Times" w:hAnsi="Times New Roman" w:cs="Times"/>
        </w:rPr>
        <w:softHyphen/>
      </w:r>
      <w:r w:rsidRPr="009A6BD2">
        <w:rPr>
          <w:rFonts w:ascii="Times New Roman" w:hAnsi="Times New Roman" w:cs="Times"/>
        </w:rPr>
        <w:t>ques durent également faire leur apparition » </w:t>
      </w:r>
      <w:r w:rsidRPr="009A6BD2">
        <w:rPr>
          <w:rStyle w:val="Rimandonotaapidipagina"/>
          <w:rFonts w:ascii="Times" w:hAnsi="Times New Roman" w:cs="Times"/>
        </w:rPr>
        <w:footnoteReference w:id="397"/>
      </w:r>
      <w:r w:rsidRPr="009A6BD2">
        <w:rPr>
          <w:rFonts w:ascii="Times New Roman" w:hAnsi="Times New Roman" w:cs="Times"/>
        </w:rPr>
        <w:t xml:space="preserve">. Les mots de </w:t>
      </w:r>
      <w:r w:rsidRPr="009A6BD2">
        <w:rPr>
          <w:rFonts w:ascii="Times New Roman" w:hAnsi="Times New Roman" w:cs="Times"/>
          <w:i/>
          <w:iCs/>
        </w:rPr>
        <w:t xml:space="preserve">wakan </w:t>
      </w:r>
      <w:r w:rsidRPr="009A6BD2">
        <w:rPr>
          <w:rFonts w:ascii="Times New Roman" w:hAnsi="Times New Roman" w:cs="Times"/>
        </w:rPr>
        <w:t xml:space="preserve">et de </w:t>
      </w:r>
      <w:r w:rsidRPr="009A6BD2">
        <w:rPr>
          <w:rFonts w:ascii="Times New Roman" w:hAnsi="Times New Roman" w:cs="Times"/>
          <w:i/>
          <w:iCs/>
        </w:rPr>
        <w:t xml:space="preserve">mana, </w:t>
      </w:r>
      <w:r w:rsidRPr="009A6BD2">
        <w:rPr>
          <w:rFonts w:ascii="Times New Roman" w:hAnsi="Times New Roman" w:cs="Times"/>
        </w:rPr>
        <w:t xml:space="preserve">comme nous le verrons dans le chapitre suivant, impliquent la notion même de </w:t>
      </w:r>
      <w:r w:rsidRPr="009A6BD2">
        <w:rPr>
          <w:rFonts w:ascii="Times New Roman" w:hAnsi="Times New Roman" w:cs="Times"/>
          <w:i/>
          <w:iCs/>
        </w:rPr>
        <w:t xml:space="preserve">sacré; </w:t>
      </w:r>
      <w:r w:rsidRPr="009A6BD2">
        <w:rPr>
          <w:rFonts w:ascii="Times New Roman" w:hAnsi="Times New Roman" w:cs="Times"/>
        </w:rPr>
        <w:t>l'un est emprunté à la langue des Sioux, l'autre à celle des peuples mélanésiens</w:t>
      </w:r>
      <w:r w:rsidRPr="009A6BD2">
        <w:rPr>
          <w:rFonts w:ascii="Times New Roman" w:hAnsi="Times New Roman" w:cs="Times"/>
        </w:rPr>
        <w:t>. Expliquer le caractè</w:t>
      </w:r>
      <w:r w:rsidRPr="009A6BD2">
        <w:rPr>
          <w:rFonts w:ascii="Times" w:hAnsi="Times New Roman" w:cs="Times"/>
        </w:rPr>
        <w:softHyphen/>
      </w:r>
      <w:r w:rsidRPr="009A6BD2">
        <w:rPr>
          <w:rFonts w:ascii="Times New Roman" w:hAnsi="Times New Roman" w:cs="Times"/>
        </w:rPr>
        <w:t xml:space="preserve">re sacré des choses totémiques en postulant ce caractère, c'est répondre à la question par la question. Ce qu'il faudrait faire voir c'est d'où vient cette notion de </w:t>
      </w:r>
      <w:r w:rsidRPr="009A6BD2">
        <w:rPr>
          <w:rFonts w:ascii="Times New Roman" w:hAnsi="Times New Roman" w:cs="Times"/>
          <w:i/>
          <w:iCs/>
        </w:rPr>
        <w:t xml:space="preserve">wakan </w:t>
      </w:r>
      <w:r w:rsidRPr="009A6BD2">
        <w:rPr>
          <w:rFonts w:ascii="Times New Roman" w:hAnsi="Times New Roman" w:cs="Times"/>
        </w:rPr>
        <w:t xml:space="preserve">et comment elle s'est appliquée au totem et à tout ce qui en </w:t>
      </w:r>
      <w:r w:rsidRPr="009A6BD2">
        <w:rPr>
          <w:rFonts w:ascii="Times New Roman" w:hAnsi="Times New Roman" w:cs="Times"/>
        </w:rPr>
        <w:t>dérive. Tant que ces deux questions ne sont pas résolues, rien n'est expliqué.</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29" w:name="livre_2_chap_5_5"/>
      <w:r w:rsidRPr="009A6BD2">
        <w:rPr>
          <w:rFonts w:ascii="Times New Roman" w:hAnsi="Times New Roman"/>
        </w:rPr>
        <w:t>V</w:t>
      </w:r>
    </w:p>
    <w:bookmarkEnd w:id="29"/>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jc w:val="both"/>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avons passé en revue les principales explications qui ont été données des croyances totémiques </w:t>
      </w:r>
      <w:r w:rsidRPr="009A6BD2">
        <w:rPr>
          <w:rStyle w:val="Rimandonotaapidipagina"/>
          <w:rFonts w:ascii="Times" w:hAnsi="Times New Roman" w:cs="Times"/>
        </w:rPr>
        <w:footnoteReference w:id="398"/>
      </w:r>
      <w:r w:rsidRPr="009A6BD2">
        <w:rPr>
          <w:rFonts w:ascii="Times New Roman" w:hAnsi="Times New Roman" w:cs="Times"/>
        </w:rPr>
        <w:t>, en nous efforçant de laiss</w:t>
      </w:r>
      <w:r w:rsidRPr="009A6BD2">
        <w:rPr>
          <w:rFonts w:ascii="Times New Roman" w:hAnsi="Times New Roman" w:cs="Times"/>
        </w:rPr>
        <w:t>er à chacune d'elles son individualité. Mais, mainte</w:t>
      </w:r>
      <w:r w:rsidRPr="009A6BD2">
        <w:rPr>
          <w:rFonts w:ascii="Times" w:hAnsi="Times New Roman" w:cs="Times"/>
        </w:rPr>
        <w:softHyphen/>
      </w:r>
      <w:r w:rsidRPr="009A6BD2">
        <w:rPr>
          <w:rFonts w:ascii="Times New Roman" w:hAnsi="Times New Roman" w:cs="Times"/>
        </w:rPr>
        <w:t>nant que cet examen est terminé, nous pouvons constater qu'une critique commune s'adresse indistinctement à tous ces systèmes.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Si l'on s'en tient à la lettre des formules, ils semblent se ranger en deu</w:t>
      </w:r>
      <w:r w:rsidRPr="009A6BD2">
        <w:rPr>
          <w:rFonts w:ascii="Times New Roman" w:hAnsi="Times New Roman" w:cs="Times"/>
        </w:rPr>
        <w:t>x catégories. Les uns (Frazer, Lang) nient le caractère religieux du totémisme ; ce qui revient, d'ailleurs, à nier les faits. D'autres le reconnaissent, mais croient pouvoir l'expliquer en le dérivant d'une religion antérieure dont le totémisme serait iss</w:t>
      </w:r>
      <w:r w:rsidRPr="009A6BD2">
        <w:rPr>
          <w:rFonts w:ascii="Times New Roman" w:hAnsi="Times New Roman" w:cs="Times"/>
        </w:rPr>
        <w:t>u. En réalité, cette distinction n'est qu'appa</w:t>
      </w:r>
      <w:r w:rsidRPr="009A6BD2">
        <w:rPr>
          <w:rFonts w:ascii="Times" w:hAnsi="Times New Roman" w:cs="Times"/>
        </w:rPr>
        <w:softHyphen/>
      </w:r>
      <w:r w:rsidRPr="009A6BD2">
        <w:rPr>
          <w:rFonts w:ascii="Times New Roman" w:hAnsi="Times New Roman" w:cs="Times"/>
        </w:rPr>
        <w:t>rente : la première catégorie rentre dans la seconde. Ni Frazer ni Lang n'ont pu maintenir leur principe jusqu'au bout et expliquer le totémisme comme s'il n'était pas une religion. Par la force des choses, il</w:t>
      </w:r>
      <w:r w:rsidRPr="009A6BD2">
        <w:rPr>
          <w:rFonts w:ascii="Times New Roman" w:hAnsi="Times New Roman" w:cs="Times"/>
        </w:rPr>
        <w:t>s ont été obligés de glisser dans leurs explications des notions de nature religieuse. Nous venons de voir comment Lang a dû faire intervenir l'idée de sacré, c'est-à-dire l'idée cardinale de toute religion. Frazer, de son côté, dans l'une comme dans l'aut</w:t>
      </w:r>
      <w:r w:rsidRPr="009A6BD2">
        <w:rPr>
          <w:rFonts w:ascii="Times New Roman" w:hAnsi="Times New Roman" w:cs="Times"/>
        </w:rPr>
        <w:t>re des théories qu'il a successivement proposées, fait ouvertement appel à l'idée d'âme ou d'esprit; car, suivant lui, le totémisme viendrait ou de ce que les hommes ont cru pouvoir mettre leur âme en sûreté dans un objet extérieur ou de ce qu'ils ont attr</w:t>
      </w:r>
      <w:r w:rsidRPr="009A6BD2">
        <w:rPr>
          <w:rFonts w:ascii="Times New Roman" w:hAnsi="Times New Roman" w:cs="Times"/>
        </w:rPr>
        <w:t>ibué le fait de la conception à une sorte de fécondation spirituelle dont un esprit serait l'agent. Or l'âme et, plus encore, l'esprit sont des choses sacrées, objets de rites ; les notions qui les expriment sont donc essentielle</w:t>
      </w:r>
      <w:r w:rsidRPr="009A6BD2">
        <w:rPr>
          <w:rFonts w:ascii="Times" w:hAnsi="Times New Roman" w:cs="Times"/>
        </w:rPr>
        <w:softHyphen/>
      </w:r>
      <w:r w:rsidRPr="009A6BD2">
        <w:rPr>
          <w:rFonts w:ascii="Times New Roman" w:hAnsi="Times New Roman" w:cs="Times"/>
        </w:rPr>
        <w:t xml:space="preserve">ment religieuses, et, par </w:t>
      </w:r>
      <w:r w:rsidRPr="009A6BD2">
        <w:rPr>
          <w:rFonts w:ascii="Times New Roman" w:hAnsi="Times New Roman" w:cs="Times"/>
        </w:rPr>
        <w:t>conséquent, Frazer a beau faire du totémisme un système purement magique, lui aussi ne parvient à l'expliquer qu'en fonction d'une autre religion.</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nous avons montré les insuffisances et du naturisme et de l'animisme; on ne peut donc y recourir, comm</w:t>
      </w:r>
      <w:r w:rsidRPr="009A6BD2">
        <w:rPr>
          <w:rFonts w:ascii="Times New Roman" w:hAnsi="Times New Roman" w:cs="Times"/>
        </w:rPr>
        <w:t>e ont fait Tylor et Jevons, sans s'exposer aux mêmes objections. Et ce</w:t>
      </w:r>
      <w:r w:rsidRPr="009A6BD2">
        <w:rPr>
          <w:rFonts w:ascii="Times" w:hAnsi="Times New Roman" w:cs="Times"/>
        </w:rPr>
        <w:softHyphen/>
      </w:r>
      <w:r w:rsidRPr="009A6BD2">
        <w:rPr>
          <w:rFonts w:ascii="Times New Roman" w:hAnsi="Times New Roman" w:cs="Times"/>
        </w:rPr>
        <w:t>pen</w:t>
      </w:r>
      <w:r w:rsidRPr="009A6BD2">
        <w:rPr>
          <w:rFonts w:ascii="Times" w:hAnsi="Times New Roman" w:cs="Times"/>
        </w:rPr>
        <w:softHyphen/>
      </w:r>
      <w:r w:rsidRPr="009A6BD2">
        <w:rPr>
          <w:rFonts w:ascii="Times New Roman" w:hAnsi="Times New Roman" w:cs="Times"/>
        </w:rPr>
        <w:t>dant ni Frazer ni Lang ne paraissent entrevoir la possibilité d'une autre hypothèse </w:t>
      </w:r>
      <w:r w:rsidRPr="009A6BD2">
        <w:rPr>
          <w:rStyle w:val="Rimandonotaapidipagina"/>
          <w:rFonts w:ascii="Times" w:hAnsi="Times New Roman" w:cs="Times"/>
        </w:rPr>
        <w:footnoteReference w:id="399"/>
      </w:r>
      <w:r w:rsidRPr="009A6BD2">
        <w:rPr>
          <w:rFonts w:ascii="Times New Roman" w:hAnsi="Times New Roman" w:cs="Times"/>
        </w:rPr>
        <w:t xml:space="preserve">. D'un autre côté, nous savons que le totémisme est étroitement lié à l'organisation sociale la </w:t>
      </w:r>
      <w:r w:rsidRPr="009A6BD2">
        <w:rPr>
          <w:rFonts w:ascii="Times New Roman" w:hAnsi="Times New Roman" w:cs="Times"/>
        </w:rPr>
        <w:t>plus primitive que nous connaissions et même, selon toute vraisemblance, qui soit conce</w:t>
      </w:r>
      <w:r w:rsidRPr="009A6BD2">
        <w:rPr>
          <w:rFonts w:ascii="Times" w:hAnsi="Times New Roman" w:cs="Times"/>
        </w:rPr>
        <w:softHyphen/>
      </w:r>
      <w:r w:rsidRPr="009A6BD2">
        <w:rPr>
          <w:rFonts w:ascii="Times New Roman" w:hAnsi="Times New Roman" w:cs="Times"/>
        </w:rPr>
        <w:t xml:space="preserve">vable. Supposer qu'il a été précédé d'une autre religion qui n'en différait pas seulement en degrés, c'est donc sortir des données de l'observation pour entrer dans le </w:t>
      </w:r>
      <w:r w:rsidRPr="009A6BD2">
        <w:rPr>
          <w:rFonts w:ascii="Times New Roman" w:hAnsi="Times New Roman" w:cs="Times"/>
        </w:rPr>
        <w:t>domaine des conjectures arbitraires et invérifiables. Si nous voulons rester d'accord avec les résultats que nous avons précédemment obtenus, il faut, tout en affirmant la nature religieuse du totémis</w:t>
      </w:r>
      <w:r w:rsidRPr="009A6BD2">
        <w:rPr>
          <w:rFonts w:ascii="Times" w:hAnsi="Times New Roman" w:cs="Times"/>
        </w:rPr>
        <w:softHyphen/>
      </w:r>
      <w:r w:rsidRPr="009A6BD2">
        <w:rPr>
          <w:rFonts w:ascii="Times New Roman" w:hAnsi="Times New Roman" w:cs="Times"/>
        </w:rPr>
        <w:t>me, nous interdire de le ramener à une religion différe</w:t>
      </w:r>
      <w:r w:rsidRPr="009A6BD2">
        <w:rPr>
          <w:rFonts w:ascii="Times New Roman" w:hAnsi="Times New Roman" w:cs="Times"/>
        </w:rPr>
        <w:t>nte de lui-même. Ce n'est pas qu'il puisse être question de lui assigner comme causes des idées qui ne seraient pas religieuses. Mais parmi les représentations qui entrent dans la genèse dont il est résulté, il peut y en avoir qui appellent par elles-mêmes</w:t>
      </w:r>
      <w:r w:rsidRPr="009A6BD2">
        <w:rPr>
          <w:rFonts w:ascii="Times New Roman" w:hAnsi="Times New Roman" w:cs="Times"/>
        </w:rPr>
        <w:t xml:space="preserve"> et directement le caractère religieux. Ce sont elles qu'il nous faut rechercher.</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30" w:name="livre_2_chap_6"/>
      <w:r w:rsidRPr="009A6BD2">
        <w:rPr>
          <w:rFonts w:ascii="Times New Roman" w:hAnsi="Times New Roman"/>
        </w:rPr>
        <w:t>CHAPITRE VI</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ORIGINES DE CES CROYANCES</w:t>
      </w:r>
    </w:p>
    <w:bookmarkEnd w:id="30"/>
    <w:p w:rsidR="009A6BD2" w:rsidRPr="009A6BD2" w:rsidRDefault="003E2D0F">
      <w:pPr>
        <w:jc w:val="center"/>
        <w:rPr>
          <w:rFonts w:ascii="Times New Roman" w:hAnsi="Times New Roman" w:cs="Times"/>
        </w:rPr>
      </w:pPr>
    </w:p>
    <w:p w:rsidR="009A6BD2" w:rsidRPr="009A6BD2" w:rsidRDefault="003E2D0F">
      <w:pPr>
        <w:pStyle w:val="suite"/>
        <w:rPr>
          <w:rFonts w:ascii="Times New Roman" w:hAnsi="Times New Roman"/>
        </w:rPr>
      </w:pPr>
      <w:r w:rsidRPr="009A6BD2">
        <w:rPr>
          <w:rFonts w:ascii="Times New Roman" w:hAnsi="Times New Roman"/>
        </w:rPr>
        <w:t>(Suite)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Niveau10"/>
        <w:rPr>
          <w:rFonts w:ascii="Times New Roman" w:hAnsi="Times New Roman"/>
        </w:rPr>
      </w:pPr>
      <w:bookmarkStart w:id="31" w:name="livre_2_chap_6_notion_principe"/>
      <w:r w:rsidRPr="009A6BD2">
        <w:rPr>
          <w:rFonts w:ascii="Times New Roman" w:hAnsi="Times New Roman"/>
        </w:rPr>
        <w:t>II. - La notion de principe ou mana totémique et l'idée de force</w:t>
      </w:r>
    </w:p>
    <w:bookmarkEnd w:id="31"/>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Puisque le totémisme individuel est postérieur au </w:t>
      </w:r>
      <w:r w:rsidRPr="009A6BD2">
        <w:rPr>
          <w:rFonts w:ascii="Times New Roman" w:hAnsi="Times New Roman" w:cs="Times"/>
        </w:rPr>
        <w:t>totémisme de clan et paraît même en être dérivé, c'est à celui-ci que nous devons nous prendre tout d'abord. Mais, comme l'analyse que nous en avons faite l'a résolu en une multiplicité de croyances qui peuvent paraître hétérogènes, il est nécessaire avant</w:t>
      </w:r>
      <w:r w:rsidRPr="009A6BD2">
        <w:rPr>
          <w:rFonts w:ascii="Times New Roman" w:hAnsi="Times New Roman" w:cs="Times"/>
        </w:rPr>
        <w:t xml:space="preserve"> d'aller plus loin, que nous cherchions à apercevoir ce qui en fait l'unité.</w:t>
      </w:r>
    </w:p>
    <w:p w:rsidR="009A6BD2" w:rsidRPr="009A6BD2" w:rsidRDefault="003E2D0F">
      <w:pPr>
        <w:jc w:val="both"/>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32" w:name="livre_2_chap_6_1"/>
      <w:r w:rsidRPr="009A6BD2">
        <w:rPr>
          <w:rFonts w:ascii="Times New Roman" w:hAnsi="Times New Roman"/>
        </w:rPr>
        <w:t>I</w:t>
      </w:r>
    </w:p>
    <w:bookmarkEnd w:id="32"/>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Nous avons vu que le totémisme met au premier rang des choses qu'il reconnaît comme sacrées les représentations figurées du totem; ens</w:t>
      </w:r>
      <w:r w:rsidRPr="009A6BD2">
        <w:rPr>
          <w:rFonts w:ascii="Times New Roman" w:hAnsi="Times New Roman" w:cs="Times"/>
        </w:rPr>
        <w:t>uite viennent les animaux ou les végétaux dont le clan porte le nom, et enfin les membres de ce clan. Puisque toutes ces choses sont sacrées au même titre, quoique inégalement, leur caractère religieux ne peut tenir à aucun des attributs particuliers qui l</w:t>
      </w:r>
      <w:r w:rsidRPr="009A6BD2">
        <w:rPr>
          <w:rFonts w:ascii="Times New Roman" w:hAnsi="Times New Roman" w:cs="Times"/>
        </w:rPr>
        <w:t>es distinguent les unes des autres. Si telle espèce animale ou végé</w:t>
      </w:r>
      <w:r w:rsidRPr="009A6BD2">
        <w:rPr>
          <w:rFonts w:ascii="Times" w:hAnsi="Times New Roman" w:cs="Times"/>
        </w:rPr>
        <w:softHyphen/>
      </w:r>
      <w:r w:rsidRPr="009A6BD2">
        <w:rPr>
          <w:rFonts w:ascii="Times New Roman" w:hAnsi="Times New Roman" w:cs="Times"/>
        </w:rPr>
        <w:t xml:space="preserve">tale est l'objet d'une crainte révérentielle, ce n'est pas en raison de ses propriétés spécifiques, puisque les membres humains du clan jouissent, quoique à un degré légèrement inférieur, </w:t>
      </w:r>
      <w:r w:rsidRPr="009A6BD2">
        <w:rPr>
          <w:rFonts w:ascii="Times New Roman" w:hAnsi="Times New Roman" w:cs="Times"/>
        </w:rPr>
        <w:t>du même privilège, et que la simple image de cette même plante ou de ce même animal inspire un respect encore plus prononcé. Les sentiments sembla</w:t>
      </w:r>
      <w:r w:rsidRPr="009A6BD2">
        <w:rPr>
          <w:rFonts w:ascii="Times" w:hAnsi="Times New Roman" w:cs="Times"/>
        </w:rPr>
        <w:softHyphen/>
      </w:r>
      <w:r w:rsidRPr="009A6BD2">
        <w:rPr>
          <w:rFonts w:ascii="Times New Roman" w:hAnsi="Times New Roman" w:cs="Times"/>
        </w:rPr>
        <w:t>bles que ces différentes sortes de choses éveillent dans la conscience du fidèle et qui font leur nature sacr</w:t>
      </w:r>
      <w:r w:rsidRPr="009A6BD2">
        <w:rPr>
          <w:rFonts w:ascii="Times New Roman" w:hAnsi="Times New Roman" w:cs="Times"/>
        </w:rPr>
        <w:t>ée, ne peuvent évidemment venir que d'un principe qui leur est commun à toutes indistinctement, aux emblèmes totémiques comme aux gens du clan et aux individus de l'espèce qui sert de totem. C'est à ce principe commun que s'adresse, en réalité, le culte. E</w:t>
      </w:r>
      <w:r w:rsidRPr="009A6BD2">
        <w:rPr>
          <w:rFonts w:ascii="Times New Roman" w:hAnsi="Times New Roman" w:cs="Times"/>
        </w:rPr>
        <w:t>n d'autres termes, le toté</w:t>
      </w:r>
      <w:r w:rsidRPr="009A6BD2">
        <w:rPr>
          <w:rFonts w:ascii="Times" w:hAnsi="Times New Roman" w:cs="Times"/>
        </w:rPr>
        <w:softHyphen/>
      </w:r>
      <w:r w:rsidRPr="009A6BD2">
        <w:rPr>
          <w:rFonts w:ascii="Times New Roman" w:hAnsi="Times New Roman" w:cs="Times"/>
        </w:rPr>
        <w:t>misme est la religion, non de tels animaux, ou de tels hommes, ou de telles images, mais d'une sorte de force anonyme et impersonnelle, qui se retrouve dans chacun de ces êtres, sans pourtant se confondre avec aucun d'eux. Nul ne</w:t>
      </w:r>
      <w:r w:rsidRPr="009A6BD2">
        <w:rPr>
          <w:rFonts w:ascii="Times New Roman" w:hAnsi="Times New Roman" w:cs="Times"/>
        </w:rPr>
        <w:t xml:space="preserve"> la possède tout entière et tous y participent. Elle est tellement indépendante des sujets particuliers en qui elle s'incarne, qu'elle les précède comme elle leur survit. Les individus meurent; les générations passent et sont remplacées par d'autres ; mais</w:t>
      </w:r>
      <w:r w:rsidRPr="009A6BD2">
        <w:rPr>
          <w:rFonts w:ascii="Times New Roman" w:hAnsi="Times New Roman" w:cs="Times"/>
        </w:rPr>
        <w:t xml:space="preserve"> cette force reste toujours actuelle, vivante et semblable à elle-même. Elle anime les générations d'aujourd'hui, comme elle animait celles d'hier, comme elle animera celles de demain. A prendre le mot dans un sens très large, on pourrait dire qu'elle est </w:t>
      </w:r>
      <w:r w:rsidRPr="009A6BD2">
        <w:rPr>
          <w:rFonts w:ascii="Times New Roman" w:hAnsi="Times New Roman" w:cs="Times"/>
        </w:rPr>
        <w:t>le dieu qu'adore chaque culte totémique. Seulement, c'est un dieu imper</w:t>
      </w:r>
      <w:r w:rsidRPr="009A6BD2">
        <w:rPr>
          <w:rFonts w:ascii="Times" w:hAnsi="Times New Roman" w:cs="Times"/>
        </w:rPr>
        <w:softHyphen/>
      </w:r>
      <w:r w:rsidRPr="009A6BD2">
        <w:rPr>
          <w:rFonts w:ascii="Times New Roman" w:hAnsi="Times New Roman" w:cs="Times"/>
        </w:rPr>
        <w:t>sonnel, sans nom, sans histoire, immanent au monde, diffus dans une multitude innom</w:t>
      </w:r>
      <w:r w:rsidRPr="009A6BD2">
        <w:rPr>
          <w:rFonts w:ascii="Times" w:hAnsi="Times New Roman" w:cs="Times"/>
        </w:rPr>
        <w:softHyphen/>
      </w:r>
      <w:r w:rsidRPr="009A6BD2">
        <w:rPr>
          <w:rFonts w:ascii="Times New Roman" w:hAnsi="Times New Roman" w:cs="Times"/>
        </w:rPr>
        <w:t>brable de choses.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Et encore n'avons-nous ainsi qu'une idée imparfaite de l'ubiquité réelle de cette</w:t>
      </w:r>
      <w:r w:rsidRPr="009A6BD2">
        <w:rPr>
          <w:rFonts w:ascii="Times New Roman" w:hAnsi="Times New Roman" w:cs="Times"/>
        </w:rPr>
        <w:t xml:space="preserve"> entité quasi divine. Elle n'est pas seulement répandue dans toute l'espèce totémique, dans tout le clan, dans tous les objets qui symbolisent le totem : le cercle de son action s'étend au delà. Nous avons vu, en effet, qu'outre ces choses éminemment saint</w:t>
      </w:r>
      <w:r w:rsidRPr="009A6BD2">
        <w:rPr>
          <w:rFonts w:ascii="Times New Roman" w:hAnsi="Times New Roman" w:cs="Times"/>
        </w:rPr>
        <w:t>es, toutes celles qui sont attribuées au clan comme dépendances du totem principal ont, en quelque mesure, le même caractère. Elles aussi ont quelque chose de religieux, puisque certaines sont protégées par des interdits et que d'autres remplissent dans le</w:t>
      </w:r>
      <w:r w:rsidRPr="009A6BD2">
        <w:rPr>
          <w:rFonts w:ascii="Times New Roman" w:hAnsi="Times New Roman" w:cs="Times"/>
        </w:rPr>
        <w:t>s cérémonies du culte des fonctions déterminées. Cette religiosité ne diffère pas en nature de celle qui appartient au totem, sous lequel elles sont classées; elle dérive nécessairement du même principe. C'est donc que le dieu totémique -pour reprendre l'e</w:t>
      </w:r>
      <w:r w:rsidRPr="009A6BD2">
        <w:rPr>
          <w:rFonts w:ascii="Times New Roman" w:hAnsi="Times New Roman" w:cs="Times"/>
        </w:rPr>
        <w:t>xpression métaphorique dont nous venons de nous servir - est en elles comme il est dans l'espèce qui sert de totem et dans les gens du clan. On voit combien il diffère des êtres dans lesquels il réside puisqu'il est l'âme de tant d'êtres différents.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w:t>
      </w:r>
      <w:r w:rsidRPr="009A6BD2">
        <w:rPr>
          <w:rFonts w:ascii="Times New Roman" w:hAnsi="Times New Roman" w:cs="Times"/>
        </w:rPr>
        <w:t>cette force impersonnelle, l'Australien ne se la représente pas sous sa forme abs</w:t>
      </w:r>
      <w:r w:rsidRPr="009A6BD2">
        <w:rPr>
          <w:rFonts w:ascii="Times" w:hAnsi="Times New Roman" w:cs="Times"/>
        </w:rPr>
        <w:softHyphen/>
      </w:r>
      <w:r w:rsidRPr="009A6BD2">
        <w:rPr>
          <w:rFonts w:ascii="Times New Roman" w:hAnsi="Times New Roman" w:cs="Times"/>
        </w:rPr>
        <w:t>traite. Sous l'influence de causes que nous aurons à rechercher, il a été amené à la concevoir sous les espèces d'un animal ou d'un végétal, en un mot d'une chose sensible. V</w:t>
      </w:r>
      <w:r w:rsidRPr="009A6BD2">
        <w:rPr>
          <w:rFonts w:ascii="Times New Roman" w:hAnsi="Times New Roman" w:cs="Times"/>
        </w:rPr>
        <w:t>oilà en quoi consiste réellement le totem : il n'est que la forme matérielle sous laquelle est représentée aux imaginations cette substance immatérielle, cette énergie diffuse à travers toutes sortes d'êtres hétérogènes, qui est, seule, l'objet véritable d</w:t>
      </w:r>
      <w:r w:rsidRPr="009A6BD2">
        <w:rPr>
          <w:rFonts w:ascii="Times New Roman" w:hAnsi="Times New Roman" w:cs="Times"/>
        </w:rPr>
        <w:t>u culte. On est ainsi mieux en état de compren</w:t>
      </w:r>
      <w:r w:rsidRPr="009A6BD2">
        <w:rPr>
          <w:rFonts w:ascii="Times" w:hAnsi="Times New Roman" w:cs="Times"/>
        </w:rPr>
        <w:softHyphen/>
      </w:r>
      <w:r w:rsidRPr="009A6BD2">
        <w:rPr>
          <w:rFonts w:ascii="Times New Roman" w:hAnsi="Times New Roman" w:cs="Times"/>
        </w:rPr>
        <w:t>dre ce que veut dire l'indigène quand il affirme que les gens de la phratrie du Corbeau, par exemple, sont des corbeaux. Il n'entend pas précisément que ce sont des corbeaux au sens vulgaire et empirique du mo</w:t>
      </w:r>
      <w:r w:rsidRPr="009A6BD2">
        <w:rPr>
          <w:rFonts w:ascii="Times New Roman" w:hAnsi="Times New Roman" w:cs="Times"/>
        </w:rPr>
        <w:t>t, mais qu'en eux tous se trouve un principe, qui constitue ce qu'ils ont de plus essentiel, qui leur est commun avec les animaux du même nom, et qui est pensé sous la forme extérieure du corbeau. Et ainsi l'univers, tel que le conçoit le totémisme, est tr</w:t>
      </w:r>
      <w:r w:rsidRPr="009A6BD2">
        <w:rPr>
          <w:rFonts w:ascii="Times New Roman" w:hAnsi="Times New Roman" w:cs="Times"/>
        </w:rPr>
        <w:t>aversé, animé par un certain nombre de forces que l'imagination se représente sous des figures empruntées, à peu d'exceptions près, soit au règne animal, soit au règne végétal : il y en a autant que de clans dans la tribu et chacune d'elles circule à trave</w:t>
      </w:r>
      <w:r w:rsidRPr="009A6BD2">
        <w:rPr>
          <w:rFonts w:ascii="Times New Roman" w:hAnsi="Times New Roman" w:cs="Times"/>
        </w:rPr>
        <w:t>rs certaines catégories de choses dont elle est l'essence et le principe de vie.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Quand nous disons de ces principes que ce sont des forces, nous ne prenons pas le mot dans une acception métaphorique ; ils agissent comme des forces véritables. Ce sont même</w:t>
      </w:r>
      <w:r w:rsidRPr="009A6BD2">
        <w:rPr>
          <w:rFonts w:ascii="Times New Roman" w:hAnsi="Times New Roman" w:cs="Times"/>
        </w:rPr>
        <w:t>, en un sens, des forces matérielles qui engendrent mécaniquement des effets physiques. Un individu entre-t-il en contact avec elles sans avoir pris les précautions convenables ? Il en reçoit un choc que l'on a pu comparer à l'effet d'une décharge électriq</w:t>
      </w:r>
      <w:r w:rsidRPr="009A6BD2">
        <w:rPr>
          <w:rFonts w:ascii="Times New Roman" w:hAnsi="Times New Roman" w:cs="Times"/>
        </w:rPr>
        <w:t>ue. On semble parfois les concevoir comme des sortes de fluides qui s'échappent par les pointes </w:t>
      </w:r>
      <w:r w:rsidRPr="009A6BD2">
        <w:rPr>
          <w:rStyle w:val="Rimandonotaapidipagina"/>
          <w:rFonts w:ascii="Times" w:hAnsi="Times New Roman" w:cs="Times"/>
        </w:rPr>
        <w:footnoteReference w:id="400"/>
      </w:r>
      <w:r w:rsidRPr="009A6BD2">
        <w:rPr>
          <w:rFonts w:ascii="Times New Roman" w:hAnsi="Times New Roman" w:cs="Times"/>
        </w:rPr>
        <w:t>. Quand elles s'introduisent dans un organisme qui n'est pas fait pour les recevoir, elles y produisent la maladie et la mort, par une réaction tout automa</w:t>
      </w:r>
      <w:r w:rsidRPr="009A6BD2">
        <w:rPr>
          <w:rFonts w:ascii="Times" w:hAnsi="Times New Roman" w:cs="Times"/>
        </w:rPr>
        <w:softHyphen/>
      </w:r>
      <w:r w:rsidRPr="009A6BD2">
        <w:rPr>
          <w:rFonts w:ascii="Times New Roman" w:hAnsi="Times New Roman" w:cs="Times"/>
        </w:rPr>
        <w:t>tiq</w:t>
      </w:r>
      <w:r w:rsidRPr="009A6BD2">
        <w:rPr>
          <w:rFonts w:ascii="Times New Roman" w:hAnsi="Times New Roman" w:cs="Times"/>
        </w:rPr>
        <w:t>ues </w:t>
      </w:r>
      <w:r w:rsidRPr="009A6BD2">
        <w:rPr>
          <w:rStyle w:val="Rimandonotaapidipagina"/>
          <w:rFonts w:ascii="Times" w:hAnsi="Times New Roman" w:cs="Times"/>
        </w:rPr>
        <w:footnoteReference w:id="401"/>
      </w:r>
      <w:r w:rsidRPr="009A6BD2">
        <w:rPr>
          <w:rFonts w:ascii="Times New Roman" w:hAnsi="Times New Roman" w:cs="Times"/>
        </w:rPr>
        <w:t>. En dehors de l'homme, elles jouent le rôle de principe vital ; c'est en agissant sur elles, nous le verrons </w:t>
      </w:r>
      <w:r w:rsidRPr="009A6BD2">
        <w:rPr>
          <w:rStyle w:val="Rimandonotaapidipagina"/>
          <w:rFonts w:ascii="Times" w:hAnsi="Times New Roman" w:cs="Times"/>
        </w:rPr>
        <w:footnoteReference w:id="402"/>
      </w:r>
      <w:r w:rsidRPr="009A6BD2">
        <w:rPr>
          <w:rFonts w:ascii="Times New Roman" w:hAnsi="Times New Roman" w:cs="Times"/>
        </w:rPr>
        <w:t>, qu'on assure la repro</w:t>
      </w:r>
      <w:r w:rsidRPr="009A6BD2">
        <w:rPr>
          <w:rFonts w:ascii="Times" w:hAnsi="Times New Roman" w:cs="Times"/>
        </w:rPr>
        <w:softHyphen/>
      </w:r>
      <w:r w:rsidRPr="009A6BD2">
        <w:rPr>
          <w:rFonts w:ascii="Times New Roman" w:hAnsi="Times New Roman" w:cs="Times"/>
        </w:rPr>
        <w:t>duc</w:t>
      </w:r>
      <w:r w:rsidRPr="009A6BD2">
        <w:rPr>
          <w:rFonts w:ascii="Times" w:hAnsi="Times New Roman" w:cs="Times"/>
        </w:rPr>
        <w:softHyphen/>
      </w:r>
      <w:r w:rsidRPr="009A6BD2">
        <w:rPr>
          <w:rFonts w:ascii="Times New Roman" w:hAnsi="Times New Roman" w:cs="Times"/>
        </w:rPr>
        <w:t>tion des espèces. C'est sur elles que repose la vie universelle.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en même temps qu'un aspect physique, elle</w:t>
      </w:r>
      <w:r w:rsidRPr="009A6BD2">
        <w:rPr>
          <w:rFonts w:ascii="Times New Roman" w:hAnsi="Times New Roman" w:cs="Times"/>
        </w:rPr>
        <w:t>s ont un caractère moral. Quand on demande à l'indigène pourquoi il observe ses rites, il répond que les ancêtres les ont toujours observés et qu'il doit suivre leur exemple </w:t>
      </w:r>
      <w:r w:rsidRPr="009A6BD2">
        <w:rPr>
          <w:rStyle w:val="Rimandonotaapidipagina"/>
          <w:rFonts w:ascii="Times" w:hAnsi="Times New Roman" w:cs="Times"/>
        </w:rPr>
        <w:footnoteReference w:id="403"/>
      </w:r>
      <w:r w:rsidRPr="009A6BD2">
        <w:rPr>
          <w:rFonts w:ascii="Times New Roman" w:hAnsi="Times New Roman" w:cs="Times"/>
        </w:rPr>
        <w:t xml:space="preserve">. Si donc il se comporte de telle ou telle manière avec les êtres totémiques, ce </w:t>
      </w:r>
      <w:r w:rsidRPr="009A6BD2">
        <w:rPr>
          <w:rFonts w:ascii="Times New Roman" w:hAnsi="Times New Roman" w:cs="Times"/>
        </w:rPr>
        <w:t>n'est pas seulement parce que les forces qui y résident sont d'un abord physiquement redoutable, c'est qu'il se sent moralement obligé de se comporter ainsi; il a le sentiment qu'il obéit à une sorte d'impératif, qu'il remplit un devoir. Il n'a pas seuleme</w:t>
      </w:r>
      <w:r w:rsidRPr="009A6BD2">
        <w:rPr>
          <w:rFonts w:ascii="Times New Roman" w:hAnsi="Times New Roman" w:cs="Times"/>
        </w:rPr>
        <w:t>nt pour les êtres sacrés de la crainte, mais du respect. D'ailleurs, le totem est la source de la vie morale du clan. Tous les êtres qui communient dans le même principe totémique se considèrent, par cela même, comme moralement liés les uns aux autres; ils</w:t>
      </w:r>
      <w:r w:rsidRPr="009A6BD2">
        <w:rPr>
          <w:rFonts w:ascii="Times New Roman" w:hAnsi="Times New Roman" w:cs="Times"/>
        </w:rPr>
        <w:t xml:space="preserve"> ont les uns envers les autres des devoirs définis d'assistance, de vendetta, etc., et ce sont ces devoirs qui cons</w:t>
      </w:r>
      <w:r w:rsidRPr="009A6BD2">
        <w:rPr>
          <w:rFonts w:ascii="Times" w:hAnsi="Times New Roman" w:cs="Times"/>
        </w:rPr>
        <w:softHyphen/>
      </w:r>
      <w:r w:rsidRPr="009A6BD2">
        <w:rPr>
          <w:rFonts w:ascii="Times New Roman" w:hAnsi="Times New Roman" w:cs="Times"/>
        </w:rPr>
        <w:t>tituent la parenté. Le principe totémique est donc, en même temps qu'une force matérielle, une puissance morale : aussi verrons-nous qu'il s</w:t>
      </w:r>
      <w:r w:rsidRPr="009A6BD2">
        <w:rPr>
          <w:rFonts w:ascii="Times New Roman" w:hAnsi="Times New Roman" w:cs="Times"/>
        </w:rPr>
        <w:t>e transforme facilement en divinité propre</w:t>
      </w:r>
      <w:r w:rsidRPr="009A6BD2">
        <w:rPr>
          <w:rFonts w:ascii="Times" w:hAnsi="Times New Roman" w:cs="Times"/>
        </w:rPr>
        <w:softHyphen/>
      </w:r>
      <w:r w:rsidRPr="009A6BD2">
        <w:rPr>
          <w:rFonts w:ascii="Times New Roman" w:hAnsi="Times New Roman" w:cs="Times"/>
        </w:rPr>
        <w:t>ment dite.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n'y a rien là, d'ailleurs, qui soit spécial au totémisme. Même dans les religions les plus avancées, il n'y a peut-être pas de dieu qui n'ait gardé quelque chose de cette ambiguïté et qui ne remplis</w:t>
      </w:r>
      <w:r w:rsidRPr="009A6BD2">
        <w:rPr>
          <w:rFonts w:ascii="Times New Roman" w:hAnsi="Times New Roman" w:cs="Times"/>
        </w:rPr>
        <w:t>se des fonctions à la fois cosmiques et morales. En même temps qu'une discipline spirituelle, toute religion est une sorte de technique qui permet à l'homme d'affronter le monde avec plus de confiance. Même pour le chrétien, Dieu le Père n'est-il pas le ga</w:t>
      </w:r>
      <w:r w:rsidRPr="009A6BD2">
        <w:rPr>
          <w:rFonts w:ascii="Times New Roman" w:hAnsi="Times New Roman" w:cs="Times"/>
        </w:rPr>
        <w:t>rdien de l'ordre physique, aussi bien que le législateur et le juge de la conduite humaine ?</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33" w:name="livre_2_chap_6_2"/>
      <w:r w:rsidRPr="009A6BD2">
        <w:rPr>
          <w:rFonts w:ascii="Times New Roman" w:hAnsi="Times New Roman"/>
        </w:rPr>
        <w:t>II</w:t>
      </w:r>
    </w:p>
    <w:bookmarkEnd w:id="33"/>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On se demandera peut-être si, en interprétant ainsi le totémisme, nous ne prêtons pas au primitif des idées qui dépas</w:t>
      </w:r>
      <w:r w:rsidRPr="009A6BD2">
        <w:rPr>
          <w:rFonts w:ascii="Times New Roman" w:hAnsi="Times New Roman" w:cs="Times"/>
        </w:rPr>
        <w:t>sent la portée de son esprit. Et sans doute, nous ne sommes pas en mesure d'affirmer qu'il se représente ces forces avec la netteté relative que nous avons dû mettre dans notre analyse. Nous pouvons bien faire voir que cette notion est impliquée par l'ense</w:t>
      </w:r>
      <w:r w:rsidRPr="009A6BD2">
        <w:rPr>
          <w:rFonts w:ascii="Times New Roman" w:hAnsi="Times New Roman" w:cs="Times"/>
        </w:rPr>
        <w:t>mble de ses croyances et qu'elle les domine ; mais nous ne saurions dire jusqu'à quel point elle est expressément consciente, dans quelle mesure, au contraire, elle n'est qu'impli</w:t>
      </w:r>
      <w:r w:rsidRPr="009A6BD2">
        <w:rPr>
          <w:rFonts w:ascii="Times" w:hAnsi="Times New Roman" w:cs="Times"/>
        </w:rPr>
        <w:softHyphen/>
      </w:r>
      <w:r w:rsidRPr="009A6BD2">
        <w:rPr>
          <w:rFonts w:ascii="Times New Roman" w:hAnsi="Times New Roman" w:cs="Times"/>
        </w:rPr>
        <w:t>cite et confusément sentie. Tout moyen manque pour préciser le degré de clar</w:t>
      </w:r>
      <w:r w:rsidRPr="009A6BD2">
        <w:rPr>
          <w:rFonts w:ascii="Times New Roman" w:hAnsi="Times New Roman" w:cs="Times"/>
        </w:rPr>
        <w:t>té qu'une idée comme celle-là peut avoir dans ces obscures consciences. Mais ce qui montre bien, en tout cas, qu'elle n'excède en rien la mentalité primitive, ce qui confirme, au contraire, le résultat auquel nous venons de parvenir, c'est que, soit dans d</w:t>
      </w:r>
      <w:r w:rsidRPr="009A6BD2">
        <w:rPr>
          <w:rFonts w:ascii="Times New Roman" w:hAnsi="Times New Roman" w:cs="Times"/>
        </w:rPr>
        <w:t>es sociétés parentes des tribus austra</w:t>
      </w:r>
      <w:r w:rsidRPr="009A6BD2">
        <w:rPr>
          <w:rFonts w:ascii="Times" w:hAnsi="Times New Roman" w:cs="Times"/>
        </w:rPr>
        <w:softHyphen/>
      </w:r>
      <w:r w:rsidRPr="009A6BD2">
        <w:rPr>
          <w:rFonts w:ascii="Times New Roman" w:hAnsi="Times New Roman" w:cs="Times"/>
        </w:rPr>
        <w:t>liennes, soit même dans ces dernières, nous trouvons, et sous forme explicite, des concep</w:t>
      </w:r>
      <w:r w:rsidRPr="009A6BD2">
        <w:rPr>
          <w:rFonts w:ascii="Times" w:hAnsi="Times New Roman" w:cs="Times"/>
        </w:rPr>
        <w:softHyphen/>
      </w:r>
      <w:r w:rsidRPr="009A6BD2">
        <w:rPr>
          <w:rFonts w:ascii="Times New Roman" w:hAnsi="Times New Roman" w:cs="Times"/>
        </w:rPr>
        <w:t>tions qui ne différent de la précédente qu'en nuances et en degrés. Les religions indigènes de Samoa ont certainement dépassé l</w:t>
      </w:r>
      <w:r w:rsidRPr="009A6BD2">
        <w:rPr>
          <w:rFonts w:ascii="Times New Roman" w:hAnsi="Times New Roman" w:cs="Times"/>
        </w:rPr>
        <w:t>a phase totémique. On y trouve de véritables dieux, qui ont des noms propres et, dans une certaine mesure, une physionomie personnelle. Cependant, les traces de totémisme sont difficilement contestables. Chaque dieu, en effet, est attaché à un groupe, soit</w:t>
      </w:r>
      <w:r w:rsidRPr="009A6BD2">
        <w:rPr>
          <w:rFonts w:ascii="Times New Roman" w:hAnsi="Times New Roman" w:cs="Times"/>
        </w:rPr>
        <w:t xml:space="preserve"> local soit domestique, tout comme le totem à son clan </w:t>
      </w:r>
      <w:r w:rsidRPr="009A6BD2">
        <w:rPr>
          <w:rStyle w:val="Rimandonotaapidipagina"/>
          <w:rFonts w:ascii="Times" w:hAnsi="Times New Roman" w:cs="Times"/>
        </w:rPr>
        <w:footnoteReference w:id="404"/>
      </w:r>
      <w:r w:rsidRPr="009A6BD2">
        <w:rPr>
          <w:rFonts w:ascii="Times New Roman" w:hAnsi="Times New Roman" w:cs="Times"/>
        </w:rPr>
        <w:t>. Or, chacun de ces dieux est conçu comme immanent à une espèce animale déterminée. Ce n'est pas qu'il réside dans un sujet en particulier : il est dans tous à la fois ; il est diffus dans l'espèce to</w:t>
      </w:r>
      <w:r w:rsidRPr="009A6BD2">
        <w:rPr>
          <w:rFonts w:ascii="Times New Roman" w:hAnsi="Times New Roman" w:cs="Times"/>
        </w:rPr>
        <w:t>ut entière. Quand un animal meurt, les gens du groupe qui le vénèrent le pleurent et lui rendent de pieux devoirs, parce qu'un dieu habite en lui ; mais le dieu n'est pas mort. Il est éternel comme l'espèce. Il ne se confond même pas avec la génération pré</w:t>
      </w:r>
      <w:r w:rsidRPr="009A6BD2">
        <w:rPr>
          <w:rFonts w:ascii="Times New Roman" w:hAnsi="Times New Roman" w:cs="Times"/>
        </w:rPr>
        <w:t>sente ; il était déjà l'âme de celle qui a précédé comme il sera l'âme de celle qui suivra </w:t>
      </w:r>
      <w:r w:rsidRPr="009A6BD2">
        <w:rPr>
          <w:rStyle w:val="Rimandonotaapidipagina"/>
          <w:rFonts w:ascii="Times" w:hAnsi="Times New Roman" w:cs="Times"/>
        </w:rPr>
        <w:footnoteReference w:id="405"/>
      </w:r>
      <w:r w:rsidRPr="009A6BD2">
        <w:rPr>
          <w:rFonts w:ascii="Times New Roman" w:hAnsi="Times New Roman" w:cs="Times"/>
        </w:rPr>
        <w:t>. Il a donc tous les caractères du principe totémique. C'est un principe totémique que l'imagination a revêtu de formes légère</w:t>
      </w:r>
      <w:r w:rsidRPr="009A6BD2">
        <w:rPr>
          <w:rFonts w:ascii="Times" w:hAnsi="Times New Roman" w:cs="Times"/>
        </w:rPr>
        <w:softHyphen/>
      </w:r>
      <w:r w:rsidRPr="009A6BD2">
        <w:rPr>
          <w:rFonts w:ascii="Times New Roman" w:hAnsi="Times New Roman" w:cs="Times"/>
        </w:rPr>
        <w:t>ment personnelles. Encore ne faudrait</w:t>
      </w:r>
      <w:r w:rsidRPr="009A6BD2">
        <w:rPr>
          <w:rFonts w:ascii="Times New Roman" w:hAnsi="Times New Roman" w:cs="Times"/>
        </w:rPr>
        <w:t>-il pas s'exagérer une personnalité qui n'est guère conciliable avec cette diffusion et cette ubiquité. Si les contours en étaient nettement arrêtés, elle ne pourrait se disperser ainsi et se répandre à travers une multitude de choses.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Cependant, dans ce </w:t>
      </w:r>
      <w:r w:rsidRPr="009A6BD2">
        <w:rPr>
          <w:rFonts w:ascii="Times New Roman" w:hAnsi="Times New Roman" w:cs="Times"/>
        </w:rPr>
        <w:t>cas, il est incontestable que la notion de force religieuse imperson</w:t>
      </w:r>
      <w:r w:rsidRPr="009A6BD2">
        <w:rPr>
          <w:rFonts w:ascii="Times" w:hAnsi="Times New Roman" w:cs="Times"/>
        </w:rPr>
        <w:softHyphen/>
      </w:r>
      <w:r w:rsidRPr="009A6BD2">
        <w:rPr>
          <w:rFonts w:ascii="Times New Roman" w:hAnsi="Times New Roman" w:cs="Times"/>
        </w:rPr>
        <w:t>nelle commence à s'altérer ; mais il en est d'autres où elle est affirmée dans sa pureté abstraite et atteint même un bien plus haut degré de généralité qu'en Australie. Si les différents</w:t>
      </w:r>
      <w:r w:rsidRPr="009A6BD2">
        <w:rPr>
          <w:rFonts w:ascii="Times New Roman" w:hAnsi="Times New Roman" w:cs="Times"/>
        </w:rPr>
        <w:t xml:space="preserve"> principes totémiques auxquels s'adressent les divers clans d'une même tribu sont distincts les uns des autres, ils ne laissent pas d'être, au fond, comparables entre eux ; car ils jouent tous le même rôle dans leur sphère respective. Or, il est des sociét</w:t>
      </w:r>
      <w:r w:rsidRPr="009A6BD2">
        <w:rPr>
          <w:rFonts w:ascii="Times New Roman" w:hAnsi="Times New Roman" w:cs="Times"/>
        </w:rPr>
        <w:t>és qui ont eu le sentiment de cette communauté de nature et qui se sont élevées, par suite, à la notion d'une force religieuse unique dont tous les autres principes sacrés ne seraient que des modalités et qui ferait l'unité de l'univers. Et comme ces socié</w:t>
      </w:r>
      <w:r w:rsidRPr="009A6BD2">
        <w:rPr>
          <w:rFonts w:ascii="Times New Roman" w:hAnsi="Times New Roman" w:cs="Times"/>
        </w:rPr>
        <w:t>tés sont encore tout imprégnées de totémisme, comme elles restent engagées dans une organisation sociale qui est identique à celle des peuples austra</w:t>
      </w:r>
      <w:r w:rsidRPr="009A6BD2">
        <w:rPr>
          <w:rFonts w:ascii="Times" w:hAnsi="Times New Roman" w:cs="Times"/>
        </w:rPr>
        <w:softHyphen/>
      </w:r>
      <w:r w:rsidRPr="009A6BD2">
        <w:rPr>
          <w:rFonts w:ascii="Times New Roman" w:hAnsi="Times New Roman" w:cs="Times"/>
        </w:rPr>
        <w:t>liens, il est permis de dire que le totémisme portait cette idée dans ses flancs.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ce qu'on peut obs</w:t>
      </w:r>
      <w:r w:rsidRPr="009A6BD2">
        <w:rPr>
          <w:rFonts w:ascii="Times New Roman" w:hAnsi="Times New Roman" w:cs="Times"/>
        </w:rPr>
        <w:t>erver chez un grand nombre de tribus américaines, notamment chez celles qui appartiennent à la grande famille des Sioux: Omaha, Ponka, Kansas, Osage, Assiniboin, Dakota, Iowa, Winnebago, Mandan, Hidatsa, etc. Plusieurs de ces sociétés sont encore organisée</w:t>
      </w:r>
      <w:r w:rsidRPr="009A6BD2">
        <w:rPr>
          <w:rFonts w:ascii="Times New Roman" w:hAnsi="Times New Roman" w:cs="Times"/>
        </w:rPr>
        <w:t>s en clans, comme les Omaha </w:t>
      </w:r>
      <w:r w:rsidRPr="009A6BD2">
        <w:rPr>
          <w:rStyle w:val="Rimandonotaapidipagina"/>
          <w:rFonts w:ascii="Times" w:hAnsi="Times New Roman" w:cs="Times"/>
        </w:rPr>
        <w:footnoteReference w:id="406"/>
      </w:r>
      <w:r w:rsidRPr="009A6BD2">
        <w:rPr>
          <w:rFonts w:ascii="Times New Roman" w:hAnsi="Times New Roman" w:cs="Times"/>
        </w:rPr>
        <w:t>, les Iowa </w:t>
      </w:r>
      <w:r w:rsidRPr="009A6BD2">
        <w:rPr>
          <w:rStyle w:val="Rimandonotaapidipagina"/>
          <w:rFonts w:ascii="Times" w:hAnsi="Times New Roman" w:cs="Times"/>
        </w:rPr>
        <w:footnoteReference w:id="407"/>
      </w:r>
      <w:r w:rsidRPr="009A6BD2">
        <w:rPr>
          <w:rFonts w:ascii="Times New Roman" w:hAnsi="Times New Roman" w:cs="Times"/>
        </w:rPr>
        <w:t xml:space="preserve"> ; d'autres l'étaient il n'y a pas long</w:t>
      </w:r>
      <w:r w:rsidRPr="009A6BD2">
        <w:rPr>
          <w:rFonts w:ascii="Times" w:hAnsi="Times New Roman" w:cs="Times"/>
        </w:rPr>
        <w:softHyphen/>
      </w:r>
      <w:r w:rsidRPr="009A6BD2">
        <w:rPr>
          <w:rFonts w:ascii="Times New Roman" w:hAnsi="Times New Roman" w:cs="Times"/>
        </w:rPr>
        <w:t>temps et, dit Dorsey, on retrouve chez elles « toutes les fondations du système totémique comme dans les autres sociétés des Sioux » </w:t>
      </w:r>
      <w:r w:rsidRPr="009A6BD2">
        <w:rPr>
          <w:rStyle w:val="Rimandonotaapidipagina"/>
          <w:rFonts w:ascii="Times" w:hAnsi="Times New Roman" w:cs="Times"/>
        </w:rPr>
        <w:footnoteReference w:id="408"/>
      </w:r>
      <w:r w:rsidRPr="009A6BD2">
        <w:rPr>
          <w:rFonts w:ascii="Times New Roman" w:hAnsi="Times New Roman" w:cs="Times"/>
        </w:rPr>
        <w:t>. Or chez ces peuples, par-dessus tous le</w:t>
      </w:r>
      <w:r w:rsidRPr="009A6BD2">
        <w:rPr>
          <w:rFonts w:ascii="Times New Roman" w:hAnsi="Times New Roman" w:cs="Times"/>
        </w:rPr>
        <w:t xml:space="preserve">s dieux particuliers auxquels les hommes rendent un culte, il existe une puissance éminente dont toutes les autres sont comme des formes dérivées et qu'ils appellent </w:t>
      </w:r>
      <w:r w:rsidRPr="009A6BD2">
        <w:rPr>
          <w:rFonts w:ascii="Times New Roman" w:hAnsi="Times New Roman" w:cs="Times"/>
          <w:i/>
          <w:iCs/>
        </w:rPr>
        <w:t>wakan</w:t>
      </w:r>
      <w:r w:rsidRPr="009A6BD2">
        <w:rPr>
          <w:rFonts w:ascii="Times New Roman" w:hAnsi="Times New Roman" w:cs="Times"/>
        </w:rPr>
        <w:t> </w:t>
      </w:r>
      <w:r w:rsidRPr="009A6BD2">
        <w:rPr>
          <w:rStyle w:val="Rimandonotaapidipagina"/>
          <w:rFonts w:ascii="Times" w:hAnsi="Times New Roman" w:cs="Times"/>
        </w:rPr>
        <w:footnoteReference w:id="409"/>
      </w:r>
      <w:r w:rsidRPr="009A6BD2">
        <w:rPr>
          <w:rFonts w:ascii="Times New Roman" w:hAnsi="Times New Roman" w:cs="Times"/>
          <w:i/>
          <w:iCs/>
        </w:rPr>
        <w:t xml:space="preserve">. </w:t>
      </w:r>
      <w:r w:rsidRPr="009A6BD2">
        <w:rPr>
          <w:rFonts w:ascii="Times New Roman" w:hAnsi="Times New Roman" w:cs="Times"/>
        </w:rPr>
        <w:t>A cause de la situation prépondérante qui est ainsi assignée à ce principe dans l</w:t>
      </w:r>
      <w:r w:rsidRPr="009A6BD2">
        <w:rPr>
          <w:rFonts w:ascii="Times New Roman" w:hAnsi="Times New Roman" w:cs="Times"/>
        </w:rPr>
        <w:t>e panthéon siou, on y a vu parfois une sorte de dieu souverain, de Jupiter ou de Jahveh, et les voyageurs ont souvent traduit wakan par «grand esprit ». C'était se méprendre gravement sur sa nature véritable. Le wakan n'est, à aucun degré, un être personne</w:t>
      </w:r>
      <w:r w:rsidRPr="009A6BD2">
        <w:rPr>
          <w:rFonts w:ascii="Times New Roman" w:hAnsi="Times New Roman" w:cs="Times"/>
        </w:rPr>
        <w:t>l : les indigènes ne se le représentent pas sous des formes déterminées. « Ils disent, rapporte un observateur cité par Dorsey, qu'ils n'ont jamais vu le wakanda; aussi ne peuvent-ils prétendre le personnifier » </w:t>
      </w:r>
      <w:r w:rsidRPr="009A6BD2">
        <w:rPr>
          <w:rStyle w:val="Rimandonotaapidipagina"/>
          <w:rFonts w:ascii="Times" w:hAnsi="Times New Roman" w:cs="Times"/>
        </w:rPr>
        <w:footnoteReference w:id="410"/>
      </w:r>
      <w:r w:rsidRPr="009A6BD2">
        <w:rPr>
          <w:rFonts w:ascii="Times New Roman" w:hAnsi="Times New Roman" w:cs="Times"/>
        </w:rPr>
        <w:t xml:space="preserve">. Il n'est même pas possible de le définir </w:t>
      </w:r>
      <w:r w:rsidRPr="009A6BD2">
        <w:rPr>
          <w:rFonts w:ascii="Times New Roman" w:hAnsi="Times New Roman" w:cs="Times"/>
        </w:rPr>
        <w:t>par des attributs et des caractères déterminés. « Aucun terme, dit Riggs, ne peut exprimer la signification du mot chez les Dakota. Il comprend tout mystère, tout pouvoir secret, toute divinité » </w:t>
      </w:r>
      <w:r w:rsidRPr="009A6BD2">
        <w:rPr>
          <w:rStyle w:val="Rimandonotaapidipagina"/>
          <w:rFonts w:ascii="Times" w:hAnsi="Times New Roman" w:cs="Times"/>
        </w:rPr>
        <w:footnoteReference w:id="411"/>
      </w:r>
      <w:r w:rsidRPr="009A6BD2">
        <w:rPr>
          <w:rFonts w:ascii="Times New Roman" w:hAnsi="Times New Roman" w:cs="Times"/>
        </w:rPr>
        <w:t>. Tous les êtres que le Dakota révère, « la terre, les quat</w:t>
      </w:r>
      <w:r w:rsidRPr="009A6BD2">
        <w:rPr>
          <w:rFonts w:ascii="Times New Roman" w:hAnsi="Times New Roman" w:cs="Times"/>
        </w:rPr>
        <w:t>re vents, le soleil, la lune, les étoiles, sont des manifestations de cette vie mystérieuse et de ce pouvoir » qui circule à travers toutes choses. Tantôt il est représenté sous la forme du vent, comme un souffle qui a son siège aux quatre points cardinaux</w:t>
      </w:r>
      <w:r w:rsidRPr="009A6BD2">
        <w:rPr>
          <w:rFonts w:ascii="Times New Roman" w:hAnsi="Times New Roman" w:cs="Times"/>
        </w:rPr>
        <w:t xml:space="preserve"> et qui meut tout </w:t>
      </w:r>
      <w:r w:rsidRPr="009A6BD2">
        <w:rPr>
          <w:rStyle w:val="Rimandonotaapidipagina"/>
          <w:rFonts w:ascii="Times" w:hAnsi="Times New Roman" w:cs="Times"/>
        </w:rPr>
        <w:footnoteReference w:id="412"/>
      </w:r>
      <w:r w:rsidRPr="009A6BD2">
        <w:rPr>
          <w:rFonts w:ascii="Times New Roman" w:hAnsi="Times New Roman" w:cs="Times"/>
        </w:rPr>
        <w:t xml:space="preserve"> : tantôt il est la voix qui se fait entendre quand le tonnerre retentit </w:t>
      </w:r>
      <w:r w:rsidRPr="009A6BD2">
        <w:rPr>
          <w:rStyle w:val="Rimandonotaapidipagina"/>
          <w:rFonts w:ascii="Times" w:hAnsi="Times New Roman" w:cs="Times"/>
        </w:rPr>
        <w:footnoteReference w:id="413"/>
      </w:r>
      <w:r w:rsidRPr="009A6BD2">
        <w:rPr>
          <w:rFonts w:ascii="Times New Roman" w:hAnsi="Times New Roman" w:cs="Times"/>
        </w:rPr>
        <w:t xml:space="preserve"> ; le soleil, la lune, les étoiles sont wakan </w:t>
      </w:r>
      <w:r w:rsidRPr="009A6BD2">
        <w:rPr>
          <w:rStyle w:val="Rimandonotaapidipagina"/>
          <w:rFonts w:ascii="Times" w:hAnsi="Times New Roman" w:cs="Times"/>
        </w:rPr>
        <w:footnoteReference w:id="414"/>
      </w:r>
      <w:r w:rsidRPr="009A6BD2">
        <w:rPr>
          <w:rFonts w:ascii="Times New Roman" w:hAnsi="Times New Roman" w:cs="Times"/>
        </w:rPr>
        <w:t>. Mais il n'est pas d'énumération qui puisse épuiser cette notion infiniment complexe. Ce n'est pas un pouvoir défin</w:t>
      </w:r>
      <w:r w:rsidRPr="009A6BD2">
        <w:rPr>
          <w:rFonts w:ascii="Times New Roman" w:hAnsi="Times New Roman" w:cs="Times"/>
        </w:rPr>
        <w:t>i et définissable, le pouvoir de faire ceci ou cela ; c'est le pou</w:t>
      </w:r>
      <w:r w:rsidRPr="009A6BD2">
        <w:rPr>
          <w:rFonts w:ascii="Times" w:hAnsi="Times New Roman" w:cs="Times"/>
        </w:rPr>
        <w:softHyphen/>
      </w:r>
      <w:r w:rsidRPr="009A6BD2">
        <w:rPr>
          <w:rFonts w:ascii="Times New Roman" w:hAnsi="Times New Roman" w:cs="Times"/>
        </w:rPr>
        <w:t>voir, d'une manière absolue, sans épithète ni détermination d'aucune sorte. Les diverses puis</w:t>
      </w:r>
      <w:r w:rsidRPr="009A6BD2">
        <w:rPr>
          <w:rFonts w:ascii="Times" w:hAnsi="Times New Roman" w:cs="Times"/>
        </w:rPr>
        <w:softHyphen/>
      </w:r>
      <w:r w:rsidRPr="009A6BD2">
        <w:rPr>
          <w:rFonts w:ascii="Times New Roman" w:hAnsi="Times New Roman" w:cs="Times"/>
        </w:rPr>
        <w:t>san</w:t>
      </w:r>
      <w:r w:rsidRPr="009A6BD2">
        <w:rPr>
          <w:rFonts w:ascii="Times" w:hAnsi="Times New Roman" w:cs="Times"/>
        </w:rPr>
        <w:softHyphen/>
      </w:r>
      <w:r w:rsidRPr="009A6BD2">
        <w:rPr>
          <w:rFonts w:ascii="Times New Roman" w:hAnsi="Times New Roman" w:cs="Times"/>
        </w:rPr>
        <w:t>ces divines n'en sont que des manifes</w:t>
      </w:r>
      <w:r w:rsidRPr="009A6BD2">
        <w:rPr>
          <w:rFonts w:ascii="Times" w:hAnsi="Times New Roman" w:cs="Times"/>
        </w:rPr>
        <w:softHyphen/>
      </w:r>
      <w:r w:rsidRPr="009A6BD2">
        <w:rPr>
          <w:rFonts w:ascii="Times New Roman" w:hAnsi="Times New Roman" w:cs="Times"/>
        </w:rPr>
        <w:t>tations particulières et des personnifications ; chac</w:t>
      </w:r>
      <w:r w:rsidRPr="009A6BD2">
        <w:rPr>
          <w:rFonts w:ascii="Times New Roman" w:hAnsi="Times New Roman" w:cs="Times"/>
        </w:rPr>
        <w:t>u</w:t>
      </w:r>
      <w:r w:rsidRPr="009A6BD2">
        <w:rPr>
          <w:rFonts w:ascii="Times" w:hAnsi="Times New Roman" w:cs="Times"/>
        </w:rPr>
        <w:softHyphen/>
      </w:r>
      <w:r w:rsidRPr="009A6BD2">
        <w:rPr>
          <w:rFonts w:ascii="Times New Roman" w:hAnsi="Times New Roman" w:cs="Times"/>
        </w:rPr>
        <w:t>ne d'elles est ce pouvoir vu sous l'un de ses multiples aspects </w:t>
      </w:r>
      <w:r w:rsidRPr="009A6BD2">
        <w:rPr>
          <w:rStyle w:val="Rimandonotaapidipagina"/>
          <w:rFonts w:ascii="Times" w:hAnsi="Times New Roman" w:cs="Times"/>
        </w:rPr>
        <w:footnoteReference w:id="415"/>
      </w:r>
      <w:r w:rsidRPr="009A6BD2">
        <w:rPr>
          <w:rFonts w:ascii="Times New Roman" w:hAnsi="Times New Roman" w:cs="Times"/>
        </w:rPr>
        <w:t>. C'est ce qui faisait dire à un observateur que « c'est un dieu essentiellement protéimorphe, qui change d'attributs et de fonctions selon les circonstan</w:t>
      </w:r>
      <w:r w:rsidRPr="009A6BD2">
        <w:rPr>
          <w:rFonts w:ascii="Times" w:hAnsi="Times New Roman" w:cs="Times"/>
        </w:rPr>
        <w:softHyphen/>
      </w:r>
      <w:r w:rsidRPr="009A6BD2">
        <w:rPr>
          <w:rFonts w:ascii="Times New Roman" w:hAnsi="Times New Roman" w:cs="Times"/>
        </w:rPr>
        <w:t>ces » </w:t>
      </w:r>
      <w:r w:rsidRPr="009A6BD2">
        <w:rPr>
          <w:rStyle w:val="Rimandonotaapidipagina"/>
          <w:rFonts w:ascii="Times" w:hAnsi="Times New Roman" w:cs="Times"/>
        </w:rPr>
        <w:footnoteReference w:id="416"/>
      </w:r>
      <w:r w:rsidRPr="009A6BD2">
        <w:rPr>
          <w:rFonts w:ascii="Times New Roman" w:hAnsi="Times New Roman" w:cs="Times"/>
        </w:rPr>
        <w:t xml:space="preserve">. Et les dieux ne sont pas </w:t>
      </w:r>
      <w:r w:rsidRPr="009A6BD2">
        <w:rPr>
          <w:rFonts w:ascii="Times New Roman" w:hAnsi="Times New Roman" w:cs="Times"/>
        </w:rPr>
        <w:t xml:space="preserve">les seuls êtres qu'il anime : il est le principe de tout ce qui vit, de tout ce qui agit, de tout ce qui se meut. « Toute vie est wakan. Et il en est ainsi de tout ce qui manifeste quelque pouvoir, que ce soit sous forme d'action positive, comme les vents </w:t>
      </w:r>
      <w:r w:rsidRPr="009A6BD2">
        <w:rPr>
          <w:rFonts w:ascii="Times New Roman" w:hAnsi="Times New Roman" w:cs="Times"/>
        </w:rPr>
        <w:t>et les nuages qui s'amoncellent, ou de résistance passive, comme le rocher sur le bord du chemin » </w:t>
      </w:r>
      <w:r w:rsidRPr="009A6BD2">
        <w:rPr>
          <w:rStyle w:val="Rimandonotaapidipagina"/>
          <w:rFonts w:ascii="Times" w:hAnsi="Times New Roman" w:cs="Times"/>
        </w:rPr>
        <w:footnoteReference w:id="41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Chez les Iroquois, dont l'organisation sociale a un caractère totémique encore plus prononcé, on retrouve la même notion : le mot d'orenda qui sert à l'e</w:t>
      </w:r>
      <w:r w:rsidRPr="009A6BD2">
        <w:rPr>
          <w:rFonts w:ascii="Times New Roman" w:hAnsi="Times New Roman" w:cs="Times"/>
        </w:rPr>
        <w:t>xprimer est l'équivalent exact du wakan des Sioux. « C'est une puissance mystique, dit Hewitt, que le sauvage conçoit comme inhérente à tous les corps qui composent le milieu où il vit..., aux rochers, aux cours d'eau, aux plantes et aux arbres, aux animau</w:t>
      </w:r>
      <w:r w:rsidRPr="009A6BD2">
        <w:rPr>
          <w:rFonts w:ascii="Times New Roman" w:hAnsi="Times New Roman" w:cs="Times"/>
        </w:rPr>
        <w:t>x et à l'homme, aux vents et aux tempêtes, aux nuages, au tonnerre, aux éclairs, etc. » </w:t>
      </w:r>
      <w:r w:rsidRPr="009A6BD2">
        <w:rPr>
          <w:rStyle w:val="Rimandonotaapidipagina"/>
          <w:rFonts w:ascii="Times" w:hAnsi="Times New Roman" w:cs="Times"/>
        </w:rPr>
        <w:footnoteReference w:id="418"/>
      </w:r>
      <w:r w:rsidRPr="009A6BD2">
        <w:rPr>
          <w:rFonts w:ascii="Times New Roman" w:hAnsi="Times New Roman" w:cs="Times"/>
        </w:rPr>
        <w:t>. Cette puissance est « regardée par l'esprit rudimen</w:t>
      </w:r>
      <w:r w:rsidRPr="009A6BD2">
        <w:rPr>
          <w:rFonts w:ascii="Times" w:hAnsi="Times New Roman" w:cs="Times"/>
        </w:rPr>
        <w:softHyphen/>
      </w:r>
      <w:r w:rsidRPr="009A6BD2">
        <w:rPr>
          <w:rFonts w:ascii="Times New Roman" w:hAnsi="Times New Roman" w:cs="Times"/>
        </w:rPr>
        <w:t>taire de l'homme comme la cause efficiente de tous les phénomènes, de toutes les activités qui se manifestent aut</w:t>
      </w:r>
      <w:r w:rsidRPr="009A6BD2">
        <w:rPr>
          <w:rFonts w:ascii="Times New Roman" w:hAnsi="Times New Roman" w:cs="Times"/>
        </w:rPr>
        <w:t>our de lui » </w:t>
      </w:r>
      <w:r w:rsidRPr="009A6BD2">
        <w:rPr>
          <w:rStyle w:val="Rimandonotaapidipagina"/>
          <w:rFonts w:ascii="Times" w:hAnsi="Times New Roman" w:cs="Times"/>
        </w:rPr>
        <w:footnoteReference w:id="419"/>
      </w:r>
      <w:r w:rsidRPr="009A6BD2">
        <w:rPr>
          <w:rFonts w:ascii="Times New Roman" w:hAnsi="Times New Roman" w:cs="Times"/>
        </w:rPr>
        <w:t>. Un sorcier, un shamane a de l'orenda, mais on en dira autant d'un homme qui réussit dans ses entreprises. Au fond, il n'est rien dans le monde qui n'ait sa part d'orenda ; seulement les parts sont inégales. Il y a des êtres, hommes ou chose</w:t>
      </w:r>
      <w:r w:rsidRPr="009A6BD2">
        <w:rPr>
          <w:rFonts w:ascii="Times New Roman" w:hAnsi="Times New Roman" w:cs="Times"/>
        </w:rPr>
        <w:t xml:space="preserve">s, qui sont avantagés, d'autres qui sont relativement déshérités, et la vie universelle consiste dans les luttes de ces orenda d'inégale intensité. Les plus intenses se subordonnent les plus faibles. Un homme l'emporte-t-il sur ses concurrents à la chasse </w:t>
      </w:r>
      <w:r w:rsidRPr="009A6BD2">
        <w:rPr>
          <w:rFonts w:ascii="Times New Roman" w:hAnsi="Times New Roman" w:cs="Times"/>
        </w:rPr>
        <w:t>ou à la guerre ? C'est qu'il a plus d'orenda. Si un animal échappe au chasseur qui le poursuit, c'est que l'orenda du premier dépasse celui du second.</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 xml:space="preserve">On trouve la même idée chez les Shoshone sous le nom de </w:t>
      </w:r>
      <w:r w:rsidRPr="009A6BD2">
        <w:rPr>
          <w:rFonts w:ascii="Times New Roman" w:hAnsi="Times New Roman" w:cs="Times"/>
          <w:i/>
          <w:iCs/>
        </w:rPr>
        <w:t xml:space="preserve">pokunt, </w:t>
      </w:r>
      <w:r w:rsidRPr="009A6BD2">
        <w:rPr>
          <w:rFonts w:ascii="Times New Roman" w:hAnsi="Times New Roman" w:cs="Times"/>
        </w:rPr>
        <w:t xml:space="preserve">chez les Algonkins sous le nom de </w:t>
      </w:r>
      <w:r w:rsidRPr="009A6BD2">
        <w:rPr>
          <w:rFonts w:ascii="Times New Roman" w:hAnsi="Times New Roman" w:cs="Times"/>
          <w:i/>
          <w:iCs/>
        </w:rPr>
        <w:t>manito</w:t>
      </w:r>
      <w:r w:rsidRPr="009A6BD2">
        <w:rPr>
          <w:rFonts w:ascii="Times New Roman" w:hAnsi="Times New Roman" w:cs="Times"/>
          <w:i/>
          <w:iCs/>
        </w:rPr>
        <w:t>u</w:t>
      </w:r>
      <w:r w:rsidRPr="009A6BD2">
        <w:rPr>
          <w:rFonts w:ascii="Times New Roman" w:hAnsi="Times New Roman" w:cs="Times"/>
        </w:rPr>
        <w:t> </w:t>
      </w:r>
      <w:r w:rsidRPr="009A6BD2">
        <w:rPr>
          <w:rStyle w:val="Rimandonotaapidipagina"/>
          <w:rFonts w:ascii="Times" w:hAnsi="Times New Roman" w:cs="Times"/>
        </w:rPr>
        <w:footnoteReference w:id="420"/>
      </w:r>
      <w:r w:rsidRPr="009A6BD2">
        <w:rPr>
          <w:rFonts w:ascii="Times New Roman" w:hAnsi="Times New Roman" w:cs="Times"/>
          <w:i/>
          <w:iCs/>
        </w:rPr>
        <w:t xml:space="preserve">, </w:t>
      </w:r>
      <w:r w:rsidRPr="009A6BD2">
        <w:rPr>
          <w:rFonts w:ascii="Times New Roman" w:hAnsi="Times New Roman" w:cs="Times"/>
        </w:rPr>
        <w:t xml:space="preserve">de </w:t>
      </w:r>
      <w:r w:rsidRPr="009A6BD2">
        <w:rPr>
          <w:rFonts w:ascii="Times New Roman" w:hAnsi="Times New Roman" w:cs="Times"/>
          <w:i/>
          <w:iCs/>
        </w:rPr>
        <w:t xml:space="preserve">nauala </w:t>
      </w:r>
      <w:r w:rsidRPr="009A6BD2">
        <w:rPr>
          <w:rFonts w:ascii="Times New Roman" w:hAnsi="Times New Roman" w:cs="Times"/>
        </w:rPr>
        <w:t>chez les Kwakiutl </w:t>
      </w:r>
      <w:r w:rsidRPr="009A6BD2">
        <w:rPr>
          <w:rStyle w:val="Rimandonotaapidipagina"/>
          <w:rFonts w:ascii="Times" w:hAnsi="Times New Roman" w:cs="Times"/>
        </w:rPr>
        <w:footnoteReference w:id="421"/>
      </w:r>
      <w:r w:rsidRPr="009A6BD2">
        <w:rPr>
          <w:rFonts w:ascii="Times New Roman" w:hAnsi="Times New Roman" w:cs="Times"/>
        </w:rPr>
        <w:t xml:space="preserve">, de </w:t>
      </w:r>
      <w:r w:rsidRPr="009A6BD2">
        <w:rPr>
          <w:rFonts w:ascii="Times New Roman" w:hAnsi="Times New Roman" w:cs="Times"/>
          <w:i/>
          <w:iCs/>
        </w:rPr>
        <w:t xml:space="preserve">yek </w:t>
      </w:r>
      <w:r w:rsidRPr="009A6BD2">
        <w:rPr>
          <w:rFonts w:ascii="Times New Roman" w:hAnsi="Times New Roman" w:cs="Times"/>
        </w:rPr>
        <w:t>chez les Tlinkit </w:t>
      </w:r>
      <w:r w:rsidRPr="009A6BD2">
        <w:rPr>
          <w:rStyle w:val="Rimandonotaapidipagina"/>
          <w:rFonts w:ascii="Times" w:hAnsi="Times New Roman" w:cs="Times"/>
        </w:rPr>
        <w:footnoteReference w:id="422"/>
      </w:r>
      <w:r w:rsidRPr="009A6BD2">
        <w:rPr>
          <w:rFonts w:ascii="Times New Roman" w:hAnsi="Times New Roman" w:cs="Times"/>
        </w:rPr>
        <w:t xml:space="preserve"> et de </w:t>
      </w:r>
      <w:r w:rsidRPr="009A6BD2">
        <w:rPr>
          <w:rFonts w:ascii="Times New Roman" w:hAnsi="Times New Roman" w:cs="Times"/>
          <w:i/>
          <w:iCs/>
        </w:rPr>
        <w:t xml:space="preserve">sgâna </w:t>
      </w:r>
      <w:r w:rsidRPr="009A6BD2">
        <w:rPr>
          <w:rFonts w:ascii="Times New Roman" w:hAnsi="Times New Roman" w:cs="Times"/>
        </w:rPr>
        <w:t>chez les Haida </w:t>
      </w:r>
      <w:r w:rsidRPr="009A6BD2">
        <w:rPr>
          <w:rStyle w:val="Rimandonotaapidipagina"/>
          <w:rFonts w:ascii="Times" w:hAnsi="Times New Roman" w:cs="Times"/>
        </w:rPr>
        <w:footnoteReference w:id="423"/>
      </w:r>
      <w:r w:rsidRPr="009A6BD2">
        <w:rPr>
          <w:rFonts w:ascii="Times New Roman" w:hAnsi="Times New Roman" w:cs="Times"/>
        </w:rPr>
        <w:t>. Mais elle n'est pas particulière aux Indiens de l'Amérique ; c'est en Mélanésie qu'elle a été étudiée pour la première fois. Il est vrai que, dans certaines îles mé</w:t>
      </w:r>
      <w:r w:rsidRPr="009A6BD2">
        <w:rPr>
          <w:rFonts w:ascii="Times New Roman" w:hAnsi="Times New Roman" w:cs="Times"/>
        </w:rPr>
        <w:t>lanésiennes, l'organisation sociale n'est plus actuellement à base totémique ; mais dans toutes le totémisme est encore visible </w:t>
      </w:r>
      <w:r w:rsidRPr="009A6BD2">
        <w:rPr>
          <w:rStyle w:val="Rimandonotaapidipagina"/>
          <w:rFonts w:ascii="Times" w:hAnsi="Times New Roman" w:cs="Times"/>
        </w:rPr>
        <w:footnoteReference w:id="424"/>
      </w:r>
      <w:r w:rsidRPr="009A6BD2">
        <w:rPr>
          <w:rFonts w:ascii="Times New Roman" w:hAnsi="Times New Roman" w:cs="Times"/>
        </w:rPr>
        <w:t xml:space="preserve">, quoi qu'en ait dit CODRINGTON. Or, on trouve chez ces peuples, sous le nom de </w:t>
      </w:r>
      <w:r w:rsidRPr="009A6BD2">
        <w:rPr>
          <w:rFonts w:ascii="Times New Roman" w:hAnsi="Times New Roman" w:cs="Times"/>
          <w:i/>
          <w:iCs/>
        </w:rPr>
        <w:t xml:space="preserve">mana, </w:t>
      </w:r>
      <w:r w:rsidRPr="009A6BD2">
        <w:rPr>
          <w:rFonts w:ascii="Times New Roman" w:hAnsi="Times New Roman" w:cs="Times"/>
        </w:rPr>
        <w:t xml:space="preserve">une notion qui est l'équivalent exact du </w:t>
      </w:r>
      <w:r w:rsidRPr="009A6BD2">
        <w:rPr>
          <w:rFonts w:ascii="Times New Roman" w:hAnsi="Times New Roman" w:cs="Times"/>
        </w:rPr>
        <w:t>wakan des Sioux et de l'orenda iroquois. Voici la définition qu'en donne CODRINGTON : « Les Mélanésiens croient à l'existence d'une force absolument distincte de toute force matérielle, qui agit de toutes sortes de façons, soit pour le bien soit pour le ma</w:t>
      </w:r>
      <w:r w:rsidRPr="009A6BD2">
        <w:rPr>
          <w:rFonts w:ascii="Times New Roman" w:hAnsi="Times New Roman" w:cs="Times"/>
        </w:rPr>
        <w:t xml:space="preserve">l, et que l'homme a le plus grand avantage à mettre sous sa main et à dominer. C'est le </w:t>
      </w:r>
      <w:r w:rsidRPr="009A6BD2">
        <w:rPr>
          <w:rFonts w:ascii="Times New Roman" w:hAnsi="Times New Roman" w:cs="Times"/>
          <w:i/>
          <w:iCs/>
        </w:rPr>
        <w:t xml:space="preserve">mana. </w:t>
      </w:r>
      <w:r w:rsidRPr="009A6BD2">
        <w:rPr>
          <w:rFonts w:ascii="Times New Roman" w:hAnsi="Times New Roman" w:cs="Times"/>
        </w:rPr>
        <w:t>je crois comprendre le sens que ce mot a pour les indigènes... C'est une force, une influence d'ordre immatériel et, en un certain sens, surnaturel ; mais c'est p</w:t>
      </w:r>
      <w:r w:rsidRPr="009A6BD2">
        <w:rPr>
          <w:rFonts w:ascii="Times New Roman" w:hAnsi="Times New Roman" w:cs="Times"/>
        </w:rPr>
        <w:t>ar la force physique qu'elle se révèle, ou bien par toute espèce de pouvoir et de supériorité que l'homme possède. Le mana n'est point fixé sur un objet déterminé ; il peut être amené sur toute espèce de choses... Toute la religion du Mélanésien consiste à</w:t>
      </w:r>
      <w:r w:rsidRPr="009A6BD2">
        <w:rPr>
          <w:rFonts w:ascii="Times New Roman" w:hAnsi="Times New Roman" w:cs="Times"/>
        </w:rPr>
        <w:t xml:space="preserve"> se procurer du mana soit pour en profiter soi-même, soit pour en faire profiter autrui » </w:t>
      </w:r>
      <w:r w:rsidRPr="009A6BD2">
        <w:rPr>
          <w:rStyle w:val="Rimandonotaapidipagina"/>
          <w:rFonts w:ascii="Times" w:hAnsi="Times New Roman" w:cs="Times"/>
        </w:rPr>
        <w:footnoteReference w:id="425"/>
      </w:r>
      <w:r w:rsidRPr="009A6BD2">
        <w:rPr>
          <w:rFonts w:ascii="Times New Roman" w:hAnsi="Times New Roman" w:cs="Times"/>
        </w:rPr>
        <w:t>. N'est-ce pas la notion même de force anonyme et diffuse dont nous décou</w:t>
      </w:r>
      <w:r w:rsidRPr="009A6BD2">
        <w:rPr>
          <w:rFonts w:ascii="Times" w:hAnsi="Times New Roman" w:cs="Times"/>
        </w:rPr>
        <w:softHyphen/>
      </w:r>
      <w:r w:rsidRPr="009A6BD2">
        <w:rPr>
          <w:rFonts w:ascii="Times New Roman" w:hAnsi="Times New Roman" w:cs="Times"/>
        </w:rPr>
        <w:t xml:space="preserve">vrions tout à l'heure le germe dans le totémisme australien ? C'est la même impersonnalité </w:t>
      </w:r>
      <w:r w:rsidRPr="009A6BD2">
        <w:rPr>
          <w:rFonts w:ascii="Times New Roman" w:hAnsi="Times New Roman" w:cs="Times"/>
        </w:rPr>
        <w:t>; car, dit CODRINGTON, il faut se garder d'y voir une sorte d'être suprême ; une telle idée « est absolument étrangère » à la pensée mélanésienne. C'est la même ubiquité : le mana n'est situé nulle part d'une manière définie et il est partout. Toutes les f</w:t>
      </w:r>
      <w:r w:rsidRPr="009A6BD2">
        <w:rPr>
          <w:rFonts w:ascii="Times New Roman" w:hAnsi="Times New Roman" w:cs="Times"/>
        </w:rPr>
        <w:t>ormes de la vie, toutes les efficacités de l'action soit des hommes soit des êtres vivants soit des simples minéraux sont attribuées à son influence </w:t>
      </w:r>
      <w:r w:rsidRPr="009A6BD2">
        <w:rPr>
          <w:rStyle w:val="Rimandonotaapidipagina"/>
          <w:rFonts w:ascii="Times" w:hAnsi="Times New Roman" w:cs="Times"/>
        </w:rPr>
        <w:footnoteReference w:id="426"/>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n'y a donc aucune témérité à prêter aux sociétés australiennes une idée comme celle que nous avons d</w:t>
      </w:r>
      <w:r w:rsidRPr="009A6BD2">
        <w:rPr>
          <w:rFonts w:ascii="Times New Roman" w:hAnsi="Times New Roman" w:cs="Times"/>
        </w:rPr>
        <w:t>égagée de l'analyse des croyances totémiques, puisque nous la retrouvons, mais portée à un plus haut degré d'abstraction et de généralité, à la base de religions qui plongent par leurs racines dans le système australien et qui en portent visiblement la mar</w:t>
      </w:r>
      <w:r w:rsidRPr="009A6BD2">
        <w:rPr>
          <w:rFonts w:ascii="Times New Roman" w:hAnsi="Times New Roman" w:cs="Times"/>
        </w:rPr>
        <w:t>que. Les deux conceptions sont manifestement parentes ; elles ne diffèrent qu'en degrés. Tandis que le mana est diffus dans tout l'univers, ce que nous avons appelé le dieu, ou pour parler plus exactement, le principe totémique, est localisé dans un cercle</w:t>
      </w:r>
      <w:r w:rsidRPr="009A6BD2">
        <w:rPr>
          <w:rFonts w:ascii="Times New Roman" w:hAnsi="Times New Roman" w:cs="Times"/>
        </w:rPr>
        <w:t>, très étendu sans doute, mais cependant plus limité, d'êtres et de choses d'espèces différentes. C'est du mana, mais un peu plus spécialisé, bien que cette spécialisation ne soit, en somme, que très relative.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d'ailleurs, le cas où ce rapport de pa</w:t>
      </w:r>
      <w:r w:rsidRPr="009A6BD2">
        <w:rPr>
          <w:rFonts w:ascii="Times New Roman" w:hAnsi="Times New Roman" w:cs="Times"/>
        </w:rPr>
        <w:t>renté est rendu tout particulièrement apparent. Chez les Omaha, il existe de totems de toutes sortes, individuels et collectifs </w:t>
      </w:r>
      <w:r w:rsidRPr="009A6BD2">
        <w:rPr>
          <w:rStyle w:val="Rimandonotaapidipagina"/>
          <w:rFonts w:ascii="Times" w:hAnsi="Times New Roman" w:cs="Times"/>
        </w:rPr>
        <w:footnoteReference w:id="427"/>
      </w:r>
      <w:r w:rsidRPr="009A6BD2">
        <w:rPr>
          <w:rFonts w:ascii="Times New Roman" w:hAnsi="Times New Roman" w:cs="Times"/>
        </w:rPr>
        <w:t xml:space="preserve"> ; or les uns et les autres ne sont que des formes particulières du wakan. « La foi de l'Indien dans l'efficacité du totem, dit</w:t>
      </w:r>
      <w:r w:rsidRPr="009A6BD2">
        <w:rPr>
          <w:rFonts w:ascii="Times New Roman" w:hAnsi="Times New Roman" w:cs="Times"/>
        </w:rPr>
        <w:t xml:space="preserve"> Miss Fletcher, reposait sur sa conception de la nature et de la vie. Cette concep</w:t>
      </w:r>
      <w:r w:rsidRPr="009A6BD2">
        <w:rPr>
          <w:rFonts w:ascii="Times" w:hAnsi="Times New Roman" w:cs="Times"/>
        </w:rPr>
        <w:softHyphen/>
      </w:r>
      <w:r w:rsidRPr="009A6BD2">
        <w:rPr>
          <w:rFonts w:ascii="Times New Roman" w:hAnsi="Times New Roman" w:cs="Times"/>
        </w:rPr>
        <w:t xml:space="preserve">tion était complexe et enveloppait deux idées essentielles. La première, c'est que toutes les choses, soit animées, soit inanimées, sont pénétrées par un commun principe de </w:t>
      </w:r>
      <w:r w:rsidRPr="009A6BD2">
        <w:rPr>
          <w:rFonts w:ascii="Times New Roman" w:hAnsi="Times New Roman" w:cs="Times"/>
        </w:rPr>
        <w:t>vie; la seconde, c'est que cette vie est continue » </w:t>
      </w:r>
      <w:r w:rsidRPr="009A6BD2">
        <w:rPr>
          <w:rStyle w:val="Rimandonotaapidipagina"/>
          <w:rFonts w:ascii="Times" w:hAnsi="Times New Roman" w:cs="Times"/>
        </w:rPr>
        <w:footnoteReference w:id="428"/>
      </w:r>
      <w:r w:rsidRPr="009A6BD2">
        <w:rPr>
          <w:rFonts w:ascii="Times New Roman" w:hAnsi="Times New Roman" w:cs="Times"/>
        </w:rPr>
        <w:t xml:space="preserve">. Or ce commun principe de vie, c'est le wakan. Le totem est le moyen par lequel l'individu est mis en rapports avec cette source d'énergie ; si le totem a des pouvoirs, c'est qu'il incarne du wakan. Si </w:t>
      </w:r>
      <w:r w:rsidRPr="009A6BD2">
        <w:rPr>
          <w:rFonts w:ascii="Times New Roman" w:hAnsi="Times New Roman" w:cs="Times"/>
        </w:rPr>
        <w:t>l'homme qui a violé les interdits qui protègent son totem est frappé par la maladie ou par la mort, c'est que la force mystérieuse à laquelle il est ainsi venu se heurter, le wakan, réagit contre lui avec une intensité proportion</w:t>
      </w:r>
      <w:r w:rsidRPr="009A6BD2">
        <w:rPr>
          <w:rFonts w:ascii="Times" w:hAnsi="Times New Roman" w:cs="Times"/>
        </w:rPr>
        <w:softHyphen/>
      </w:r>
      <w:r w:rsidRPr="009A6BD2">
        <w:rPr>
          <w:rFonts w:ascii="Times New Roman" w:hAnsi="Times New Roman" w:cs="Times"/>
        </w:rPr>
        <w:t>nelle au choc subi </w:t>
      </w:r>
      <w:r w:rsidRPr="009A6BD2">
        <w:rPr>
          <w:rStyle w:val="Rimandonotaapidipagina"/>
          <w:rFonts w:ascii="Times" w:hAnsi="Times New Roman" w:cs="Times"/>
        </w:rPr>
        <w:footnoteReference w:id="429"/>
      </w:r>
      <w:r w:rsidRPr="009A6BD2">
        <w:rPr>
          <w:rFonts w:ascii="Times New Roman" w:hAnsi="Times New Roman" w:cs="Times"/>
        </w:rPr>
        <w:t>. Inve</w:t>
      </w:r>
      <w:r w:rsidRPr="009A6BD2">
        <w:rPr>
          <w:rFonts w:ascii="Times New Roman" w:hAnsi="Times New Roman" w:cs="Times"/>
        </w:rPr>
        <w:t>rsement, de même que le totem est du wakan, le wakan, à son tour, rappelle parfois, par la manière dont il est conçu, ses origines totémiques. Say dit en effet que, chez les Dakota, le « wahconda », se manifeste sous les espèces tantôt d'un ours gris, tant</w:t>
      </w:r>
      <w:r w:rsidRPr="009A6BD2">
        <w:rPr>
          <w:rFonts w:ascii="Times New Roman" w:hAnsi="Times New Roman" w:cs="Times"/>
        </w:rPr>
        <w:t>ôt d'un bison, d'un castor ou de quelque autre animal </w:t>
      </w:r>
      <w:r w:rsidRPr="009A6BD2">
        <w:rPr>
          <w:rStyle w:val="Rimandonotaapidipagina"/>
          <w:rFonts w:ascii="Times" w:hAnsi="Times New Roman" w:cs="Times"/>
        </w:rPr>
        <w:footnoteReference w:id="430"/>
      </w:r>
      <w:r w:rsidRPr="009A6BD2">
        <w:rPr>
          <w:rFonts w:ascii="Times New Roman" w:hAnsi="Times New Roman" w:cs="Times"/>
        </w:rPr>
        <w:t>. Sans doute, la formule ne saurait être acceptée sans réserve. Le wakan répugne à toute personnification et, par conséquent, il est peu probable qu'il ait jamais été pensé dans sa généralité abstraite</w:t>
      </w:r>
      <w:r w:rsidRPr="009A6BD2">
        <w:rPr>
          <w:rFonts w:ascii="Times New Roman" w:hAnsi="Times New Roman" w:cs="Times"/>
        </w:rPr>
        <w:t xml:space="preserve"> à l'aide de symboles aussi définis. Mais la remarque de Say s'applique vraisemblablement aux formes particulières qu'il prend en se spécialisant dans la réalité concrète la vie. Or, si vraiment il y eut un temps où ces spécialisations du wakan témoignaien</w:t>
      </w:r>
      <w:r w:rsidRPr="009A6BD2">
        <w:rPr>
          <w:rFonts w:ascii="Times New Roman" w:hAnsi="Times New Roman" w:cs="Times"/>
        </w:rPr>
        <w:t>t d'une affinité aussi marquée pour la forme animale, ce serait une preuve de plus des liens étroits qui unissent cette notion aux croyances totémiques </w:t>
      </w:r>
      <w:r w:rsidRPr="009A6BD2">
        <w:rPr>
          <w:rStyle w:val="Rimandonotaapidipagina"/>
          <w:rFonts w:ascii="Times" w:hAnsi="Times New Roman" w:cs="Times"/>
        </w:rPr>
        <w:footnoteReference w:id="43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On peut d'ailleurs, expliquer pourquoi, en Australie, l'idée de mana ne pouvait pas atteindre le de</w:t>
      </w:r>
      <w:r w:rsidRPr="009A6BD2">
        <w:rPr>
          <w:rFonts w:ascii="Times New Roman" w:hAnsi="Times New Roman" w:cs="Times"/>
        </w:rPr>
        <w:t>gré d'abstraction et de généralité auquel elle est parvenue dans des sociétés plus avancées. Ce n'est pas seulement à cause de l'insuffisante aptitude que peut avoir l'Australien à abstraire et à généraliser : mais c'est, avant tout, la nature du milieu so</w:t>
      </w:r>
      <w:r w:rsidRPr="009A6BD2">
        <w:rPr>
          <w:rFonts w:ascii="Times New Roman" w:hAnsi="Times New Roman" w:cs="Times"/>
        </w:rPr>
        <w:t>cial qui imposait ce particularisme. En effet, tant que le totémisme reste à la base de l'organisation cultuelle, le clan garde, dans la société religieuse, une autonomie qui, pour n'être pas absolue, ne laisse pas d'être très accusée. Sans doute, en un se</w:t>
      </w:r>
      <w:r w:rsidRPr="009A6BD2">
        <w:rPr>
          <w:rFonts w:ascii="Times New Roman" w:hAnsi="Times New Roman" w:cs="Times"/>
        </w:rPr>
        <w:t>ns, on peut dire que chaque groupe totémique n'est qu'une chapelle de l'Église tribale; mais c'est une chapelle qui jouit d'une large indépendance. Le culte qui s'y célèbre, sans former un tout qui se suffise à soi-même, n'a cependant avec les autres que d</w:t>
      </w:r>
      <w:r w:rsidRPr="009A6BD2">
        <w:rPr>
          <w:rFonts w:ascii="Times New Roman" w:hAnsi="Times New Roman" w:cs="Times"/>
        </w:rPr>
        <w:t>es rapports extérieurs ; ils se juxtaposent sans se pénétrer ; le totem d'un clan n'est pleinement sacré que pour ce clan. Par suite, le groupe des choses qui sont affectées à chaque clan, et qui en font partie au même titre que les hommes, a la même indiv</w:t>
      </w:r>
      <w:r w:rsidRPr="009A6BD2">
        <w:rPr>
          <w:rFonts w:ascii="Times New Roman" w:hAnsi="Times New Roman" w:cs="Times"/>
        </w:rPr>
        <w:t xml:space="preserve">idualité et la même autonomie. Chacun d'eux est représenté comme irréductible aux groupes similaires, comme séparé d'eux par une solution de continuité, comme constituant une sorte de règne distinct. Dans ces conditions, il ne pouvait pas venir à l'esprit </w:t>
      </w:r>
      <w:r w:rsidRPr="009A6BD2">
        <w:rPr>
          <w:rFonts w:ascii="Times New Roman" w:hAnsi="Times New Roman" w:cs="Times"/>
        </w:rPr>
        <w:t>que ces mondes hétérogènes ne fussent que des manifestations variées d'une seule et même force fondamentale ; on devait, au contraire, supposer qu'à chacun d'eux correspondait un mana spécifiquement différent et dont l'action ne pouvait s'étendre au delà d</w:t>
      </w:r>
      <w:r w:rsidRPr="009A6BD2">
        <w:rPr>
          <w:rFonts w:ascii="Times New Roman" w:hAnsi="Times New Roman" w:cs="Times"/>
        </w:rPr>
        <w:t>u clan et du cercle de choses qui lui étaient attribuées. La notion d'un mana unique et universel ne pouvait naître qu'à partir du moment oh une religion de la tribu se développa par-dessus les cultes de clans et les absorba plus ou moins complètement. C'e</w:t>
      </w:r>
      <w:r w:rsidRPr="009A6BD2">
        <w:rPr>
          <w:rFonts w:ascii="Times New Roman" w:hAnsi="Times New Roman" w:cs="Times"/>
        </w:rPr>
        <w:t>st avec le sens de l'unité tribale que s'éveilla le sens de l'unité substantielle du monde. Sans doute, nous montrerons plus loin </w:t>
      </w:r>
      <w:r w:rsidRPr="009A6BD2">
        <w:rPr>
          <w:rStyle w:val="Rimandonotaapidipagina"/>
          <w:rFonts w:ascii="Times" w:hAnsi="Times New Roman" w:cs="Times"/>
        </w:rPr>
        <w:footnoteReference w:id="432"/>
      </w:r>
      <w:r w:rsidRPr="009A6BD2">
        <w:rPr>
          <w:rFonts w:ascii="Times New Roman" w:hAnsi="Times New Roman" w:cs="Times"/>
        </w:rPr>
        <w:t xml:space="preserve"> que les sociétés d'Australie connaissent déjà un culte commun à la tribu tout entière. Mais si ce culte représente la forme </w:t>
      </w:r>
      <w:r w:rsidRPr="009A6BD2">
        <w:rPr>
          <w:rFonts w:ascii="Times New Roman" w:hAnsi="Times New Roman" w:cs="Times"/>
        </w:rPr>
        <w:t>la plus haute des religions australiennes, il n'a pas réussi à entamer et à modifier les principes sur lesquels elles reposent : le totémisme est essentielle</w:t>
      </w:r>
      <w:r w:rsidRPr="009A6BD2">
        <w:rPr>
          <w:rFonts w:ascii="Times" w:hAnsi="Times New Roman" w:cs="Times"/>
        </w:rPr>
        <w:softHyphen/>
      </w:r>
      <w:r w:rsidRPr="009A6BD2">
        <w:rPr>
          <w:rFonts w:ascii="Times New Roman" w:hAnsi="Times New Roman" w:cs="Times"/>
        </w:rPr>
        <w:t>ment une religion fédérative qui ne peut dépasser un certain degré de centralisation sans cesser d</w:t>
      </w:r>
      <w:r w:rsidRPr="009A6BD2">
        <w:rPr>
          <w:rFonts w:ascii="Times New Roman" w:hAnsi="Times New Roman" w:cs="Times"/>
        </w:rPr>
        <w:t>'être elle-même.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Un fait caractéristique montre bien que telle est la raison profonde qui, en Australie, a maintenu la notion de mana dans cet état de spécialisation. Les forces proprement religieuses, celles qui sont pensées sous la forme des totems, ne </w:t>
      </w:r>
      <w:r w:rsidRPr="009A6BD2">
        <w:rPr>
          <w:rFonts w:ascii="Times New Roman" w:hAnsi="Times New Roman" w:cs="Times"/>
        </w:rPr>
        <w:t>sont pas les seules avec lesquelles l'Australien se croit obligé de compter. Il y a aussi celles dont dispose plus particulièrement le magicien. Tandis que les premières sont, en principe, considérées comme salutaires et bienfaisantes, les secondes ont, av</w:t>
      </w:r>
      <w:r w:rsidRPr="009A6BD2">
        <w:rPr>
          <w:rFonts w:ascii="Times New Roman" w:hAnsi="Times New Roman" w:cs="Times"/>
        </w:rPr>
        <w:t>ant tout, pour fonction de causer la mort et la maladie. En même temps que par la nature de leurs effets, elles diffèrent aussi par les rapports que les unes et les autres soutiennent avec l'organisation de la société. Un totem est toujours la chose d'un c</w:t>
      </w:r>
      <w:r w:rsidRPr="009A6BD2">
        <w:rPr>
          <w:rFonts w:ascii="Times New Roman" w:hAnsi="Times New Roman" w:cs="Times"/>
        </w:rPr>
        <w:t>lan; au contraire, la magie est une institution tribale et même intertribale. Les forces magiques n'appartiennent en propre à aucune portion déterminée de la tribu. Pour s'en servir, il suffit qu'on possède les recettes efficaces. De même, tout le monde es</w:t>
      </w:r>
      <w:r w:rsidRPr="009A6BD2">
        <w:rPr>
          <w:rFonts w:ascii="Times New Roman" w:hAnsi="Times New Roman" w:cs="Times"/>
        </w:rPr>
        <w:t>t exposé à en sentir les effets et doit, par conséquent, chercher à s'en garantir. Ce sont des forces vagues qui ne sont attachées spécialement à aucune division sociale déterminée et qui peuvent même étendre leur action au delà de la tribu. Or il est rema</w:t>
      </w:r>
      <w:r w:rsidRPr="009A6BD2">
        <w:rPr>
          <w:rFonts w:ascii="Times New Roman" w:hAnsi="Times New Roman" w:cs="Times"/>
        </w:rPr>
        <w:t xml:space="preserve">rquable que, chez les Arunta et les Loritja, elles sont conçues comme de simples aspects et des formes particulières d'une seule et Même force, appelée en Arunta </w:t>
      </w:r>
      <w:r w:rsidRPr="009A6BD2">
        <w:rPr>
          <w:rFonts w:ascii="Times New Roman" w:hAnsi="Times New Roman" w:cs="Times"/>
          <w:i/>
          <w:iCs/>
        </w:rPr>
        <w:t>Arungquiltha ou Arunkulta</w:t>
      </w:r>
      <w:r w:rsidRPr="009A6BD2">
        <w:rPr>
          <w:rFonts w:ascii="Times New Roman" w:hAnsi="Times New Roman" w:cs="Times"/>
        </w:rPr>
        <w:t> </w:t>
      </w:r>
      <w:r w:rsidRPr="009A6BD2">
        <w:rPr>
          <w:rStyle w:val="Rimandonotaapidipagina"/>
          <w:rFonts w:ascii="Times" w:hAnsi="Times New Roman" w:cs="Times"/>
        </w:rPr>
        <w:footnoteReference w:id="433"/>
      </w:r>
      <w:r w:rsidRPr="009A6BD2">
        <w:rPr>
          <w:rFonts w:ascii="Times New Roman" w:hAnsi="Times New Roman" w:cs="Times"/>
        </w:rPr>
        <w:t>.</w:t>
      </w:r>
      <w:r w:rsidRPr="009A6BD2">
        <w:rPr>
          <w:rFonts w:ascii="Times New Roman" w:hAnsi="Times New Roman" w:cs="Times"/>
          <w:i/>
          <w:iCs/>
        </w:rPr>
        <w:t xml:space="preserve"> « C'est, </w:t>
      </w:r>
      <w:r w:rsidRPr="009A6BD2">
        <w:rPr>
          <w:rFonts w:ascii="Times New Roman" w:hAnsi="Times New Roman" w:cs="Times"/>
        </w:rPr>
        <w:t>disent Spencer et Gillen, Un terme d'une signification u</w:t>
      </w:r>
      <w:r w:rsidRPr="009A6BD2">
        <w:rPr>
          <w:rFonts w:ascii="Times New Roman" w:hAnsi="Times New Roman" w:cs="Times"/>
        </w:rPr>
        <w:t xml:space="preserve">n peu vague ; mais, à sa base, on trouve toujours l'idée d'un </w:t>
      </w:r>
      <w:r w:rsidRPr="009A6BD2">
        <w:rPr>
          <w:rFonts w:ascii="Times New Roman" w:hAnsi="Times New Roman" w:cs="Times"/>
          <w:i/>
          <w:iCs/>
        </w:rPr>
        <w:t xml:space="preserve">pouvoir surnaturel de nature mauvaise... </w:t>
      </w:r>
      <w:r w:rsidRPr="009A6BD2">
        <w:rPr>
          <w:rFonts w:ascii="Times New Roman" w:hAnsi="Times New Roman" w:cs="Times"/>
        </w:rPr>
        <w:t>Le mot s'applique indifférem</w:t>
      </w:r>
      <w:r w:rsidRPr="009A6BD2">
        <w:rPr>
          <w:rFonts w:ascii="Times" w:hAnsi="Times New Roman" w:cs="Times"/>
        </w:rPr>
        <w:softHyphen/>
      </w:r>
      <w:r w:rsidRPr="009A6BD2">
        <w:rPr>
          <w:rFonts w:ascii="Times New Roman" w:hAnsi="Times New Roman" w:cs="Times"/>
        </w:rPr>
        <w:t>ment ou à la mauvaise influence qui se dégage d'un objet ou à l'objet même où elle réside à titre temporaire ou permanent </w:t>
      </w:r>
      <w:r w:rsidRPr="009A6BD2">
        <w:rPr>
          <w:rStyle w:val="Rimandonotaapidipagina"/>
          <w:rFonts w:ascii="Times" w:hAnsi="Times New Roman" w:cs="Times"/>
        </w:rPr>
        <w:footnoteReference w:id="434"/>
      </w:r>
      <w:r w:rsidRPr="009A6BD2">
        <w:rPr>
          <w:rFonts w:ascii="Times New Roman" w:hAnsi="Times New Roman" w:cs="Times"/>
        </w:rPr>
        <w:t xml:space="preserve"> </w:t>
      </w:r>
      <w:r w:rsidRPr="009A6BD2">
        <w:rPr>
          <w:rFonts w:ascii="Times New Roman" w:hAnsi="Times New Roman" w:cs="Times"/>
        </w:rPr>
        <w:t>». « Par arùnkulta, dit Strehlow, l'indigène entend une force qui suspend brusquement la vie et amène la mort de celui en qui elle s'est introduite </w:t>
      </w:r>
      <w:r w:rsidRPr="009A6BD2">
        <w:rPr>
          <w:rStyle w:val="Rimandonotaapidipagina"/>
          <w:rFonts w:ascii="Times" w:hAnsi="Times New Roman" w:cs="Times"/>
        </w:rPr>
        <w:footnoteReference w:id="435"/>
      </w:r>
      <w:r w:rsidRPr="009A6BD2">
        <w:rPr>
          <w:rFonts w:ascii="Times New Roman" w:hAnsi="Times New Roman" w:cs="Times"/>
        </w:rPr>
        <w:t>. » On donne ce nom aux ossements, aux pièces de bois d'où se dégagent des charmes malfaisants, aux poisons</w:t>
      </w:r>
      <w:r w:rsidRPr="009A6BD2">
        <w:rPr>
          <w:rFonts w:ascii="Times New Roman" w:hAnsi="Times New Roman" w:cs="Times"/>
        </w:rPr>
        <w:t xml:space="preserve"> animaux ou végétaux. C'est donc, très exactement, un mana nocif. Grey signale dans les tribus qu'il a observées une notion tout à fait identique </w:t>
      </w:r>
      <w:r w:rsidRPr="009A6BD2">
        <w:rPr>
          <w:rStyle w:val="Rimandonotaapidipagina"/>
          <w:rFonts w:ascii="Times" w:hAnsi="Times New Roman" w:cs="Times"/>
        </w:rPr>
        <w:footnoteReference w:id="436"/>
      </w:r>
      <w:r w:rsidRPr="009A6BD2">
        <w:rPr>
          <w:rFonts w:ascii="Times New Roman" w:hAnsi="Times New Roman" w:cs="Times"/>
        </w:rPr>
        <w:t>. Ainsi, chez ces différents peuples, alors que les forces proprement religieuses ne parviennent pas à se déf</w:t>
      </w:r>
      <w:r w:rsidRPr="009A6BD2">
        <w:rPr>
          <w:rFonts w:ascii="Times New Roman" w:hAnsi="Times New Roman" w:cs="Times"/>
        </w:rPr>
        <w:t>aire d'une certaine hétérogénéité, les forces magiques sont conçues comme étant toutes de même nature; elles sont représentées aux esprits dans leur unité générique. C'est que, comme elles planent au-dessus de l'organisation sociale, au-dessus de ses divis</w:t>
      </w:r>
      <w:r w:rsidRPr="009A6BD2">
        <w:rPr>
          <w:rFonts w:ascii="Times New Roman" w:hAnsi="Times New Roman" w:cs="Times"/>
        </w:rPr>
        <w:t>ions et de ses subdivisions, elles se meuvent dans un espace homogène et continu où elles ne rencontrent rien qui les différencie. Les autres, au contraire, étant localisées dans des cadres sociaux définis et distincts, se diversifient et se particularisen</w:t>
      </w:r>
      <w:r w:rsidRPr="009A6BD2">
        <w:rPr>
          <w:rFonts w:ascii="Times New Roman" w:hAnsi="Times New Roman" w:cs="Times"/>
        </w:rPr>
        <w:t>t à l'image des milieux où elles sont situées.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voit par là combien la notion de force religieuse impersonnelle est dans le sens et dans l'esprit du totémisme australien, puisqu'elle se constitue avec netteté dès qu'il n'y a pas de cause contraire qui s</w:t>
      </w:r>
      <w:r w:rsidRPr="009A6BD2">
        <w:rPr>
          <w:rFonts w:ascii="Times New Roman" w:hAnsi="Times New Roman" w:cs="Times"/>
        </w:rPr>
        <w:t>'y oppose. Il est vrai que l'arungquiltha est une force purement magique. Mais, entre les forces magiques et les forces religieuses, il n'y a pas de différence de nature </w:t>
      </w:r>
      <w:r w:rsidRPr="009A6BD2">
        <w:rPr>
          <w:rStyle w:val="Rimandonotaapidipagina"/>
          <w:rFonts w:ascii="Times" w:hAnsi="Times New Roman" w:cs="Times"/>
        </w:rPr>
        <w:footnoteReference w:id="437"/>
      </w:r>
      <w:r w:rsidRPr="009A6BD2">
        <w:rPr>
          <w:rFonts w:ascii="Times New Roman" w:hAnsi="Times New Roman" w:cs="Times"/>
        </w:rPr>
        <w:t xml:space="preserve"> elles sont même parfois désignées par un même nom en Mélanésie, le magicien et ses s</w:t>
      </w:r>
      <w:r w:rsidRPr="009A6BD2">
        <w:rPr>
          <w:rFonts w:ascii="Times New Roman" w:hAnsi="Times New Roman" w:cs="Times"/>
        </w:rPr>
        <w:t>ortilè</w:t>
      </w:r>
      <w:r w:rsidRPr="009A6BD2">
        <w:rPr>
          <w:rFonts w:ascii="Times" w:hAnsi="Times New Roman" w:cs="Times"/>
        </w:rPr>
        <w:softHyphen/>
      </w:r>
      <w:r w:rsidRPr="009A6BD2">
        <w:rPr>
          <w:rFonts w:ascii="Times New Roman" w:hAnsi="Times New Roman" w:cs="Times"/>
        </w:rPr>
        <w:t>ges ont du mana tout comme les agents et les rites du culte régulier </w:t>
      </w:r>
      <w:r w:rsidRPr="009A6BD2">
        <w:rPr>
          <w:rStyle w:val="Rimandonotaapidipagina"/>
          <w:rFonts w:ascii="Times" w:hAnsi="Times New Roman" w:cs="Times"/>
        </w:rPr>
        <w:footnoteReference w:id="438"/>
      </w:r>
      <w:r w:rsidRPr="009A6BD2">
        <w:rPr>
          <w:rFonts w:ascii="Times New Roman" w:hAnsi="Times New Roman" w:cs="Times"/>
        </w:rPr>
        <w:t xml:space="preserve"> ; le mot d'orenda, chez les Iroquois </w:t>
      </w:r>
      <w:r w:rsidRPr="009A6BD2">
        <w:rPr>
          <w:rStyle w:val="Rimandonotaapidipagina"/>
          <w:rFonts w:ascii="Times" w:hAnsi="Times New Roman" w:cs="Times"/>
        </w:rPr>
        <w:footnoteReference w:id="439"/>
      </w:r>
      <w:r w:rsidRPr="009A6BD2">
        <w:rPr>
          <w:rFonts w:ascii="Times New Roman" w:hAnsi="Times New Roman" w:cs="Times"/>
        </w:rPr>
        <w:t>, est employé de la même manière. On peut donc légitimement inférer la nature des unes d'après celle des autres </w:t>
      </w:r>
      <w:r w:rsidRPr="009A6BD2">
        <w:rPr>
          <w:rStyle w:val="Rimandonotaapidipagina"/>
          <w:rFonts w:ascii="Times" w:hAnsi="Times New Roman" w:cs="Times"/>
        </w:rPr>
        <w:footnoteReference w:id="440"/>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34" w:name="livre_2_chap_6_3"/>
      <w:r w:rsidRPr="009A6BD2">
        <w:rPr>
          <w:rFonts w:ascii="Times New Roman" w:hAnsi="Times New Roman"/>
        </w:rPr>
        <w:t>III</w:t>
      </w:r>
    </w:p>
    <w:bookmarkEnd w:id="34"/>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w:instrText>
      </w:r>
      <w:r w:rsidRPr="009A6BD2">
        <w:rPr>
          <w:rFonts w:ascii="Times New Roman" w:hAnsi="Times New Roman" w:cs="Times"/>
          <w:sz w:val="20"/>
          <w:szCs w:val="20"/>
          <w:effect w:val="none"/>
        </w:rPr>
        <w:instrText xml:space="preserve">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Le résultat auquel nous a conduit l'analyse précédente n'intéresse pas seulement l'histoire du totémisme, mais la genèse de la pensée religieuse en général.</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Sous prétexte que l'homme, à l'origine, est dominé par les sens et les repr</w:t>
      </w:r>
      <w:r w:rsidRPr="009A6BD2">
        <w:rPr>
          <w:rFonts w:ascii="Times New Roman" w:hAnsi="Times New Roman" w:cs="Times"/>
        </w:rPr>
        <w:t>ésentations sen</w:t>
      </w:r>
      <w:r w:rsidRPr="009A6BD2">
        <w:rPr>
          <w:rFonts w:ascii="Times" w:hAnsi="Times New Roman" w:cs="Times"/>
        </w:rPr>
        <w:softHyphen/>
      </w:r>
      <w:r w:rsidRPr="009A6BD2">
        <w:rPr>
          <w:rFonts w:ascii="Times New Roman" w:hAnsi="Times New Roman" w:cs="Times"/>
        </w:rPr>
        <w:t>si</w:t>
      </w:r>
      <w:r w:rsidRPr="009A6BD2">
        <w:rPr>
          <w:rFonts w:ascii="Times" w:hAnsi="Times New Roman" w:cs="Times"/>
        </w:rPr>
        <w:softHyphen/>
      </w:r>
      <w:r w:rsidRPr="009A6BD2">
        <w:rPr>
          <w:rFonts w:ascii="Times New Roman" w:hAnsi="Times New Roman" w:cs="Times"/>
        </w:rPr>
        <w:t>bles, on a souvent soutenu qu'il avait commencé par se représenter le divin sous la forme concrète d'êtres définis et personnels. Les faits ne confirment pas cette présomp</w:t>
      </w:r>
      <w:r w:rsidRPr="009A6BD2">
        <w:rPr>
          <w:rFonts w:ascii="Times" w:hAnsi="Times New Roman" w:cs="Times"/>
        </w:rPr>
        <w:softHyphen/>
      </w:r>
      <w:r w:rsidRPr="009A6BD2">
        <w:rPr>
          <w:rFonts w:ascii="Times New Roman" w:hAnsi="Times New Roman" w:cs="Times"/>
        </w:rPr>
        <w:t>tion. Nous venons de décrire un ensemble, systématiquement lié, d</w:t>
      </w:r>
      <w:r w:rsidRPr="009A6BD2">
        <w:rPr>
          <w:rFonts w:ascii="Times New Roman" w:hAnsi="Times New Roman" w:cs="Times"/>
        </w:rPr>
        <w:t>e croyances religieuses que nous sommes fondé à considérer comme très primitif, et cependant nous n'y avons pas ren</w:t>
      </w:r>
      <w:r w:rsidRPr="009A6BD2">
        <w:rPr>
          <w:rFonts w:ascii="Times" w:hAnsi="Times New Roman" w:cs="Times"/>
        </w:rPr>
        <w:softHyphen/>
      </w:r>
      <w:r w:rsidRPr="009A6BD2">
        <w:rPr>
          <w:rFonts w:ascii="Times New Roman" w:hAnsi="Times New Roman" w:cs="Times"/>
        </w:rPr>
        <w:t>con</w:t>
      </w:r>
      <w:r w:rsidRPr="009A6BD2">
        <w:rPr>
          <w:rFonts w:ascii="Times" w:hAnsi="Times New Roman" w:cs="Times"/>
        </w:rPr>
        <w:softHyphen/>
      </w:r>
      <w:r w:rsidRPr="009A6BD2">
        <w:rPr>
          <w:rFonts w:ascii="Times New Roman" w:hAnsi="Times New Roman" w:cs="Times"/>
        </w:rPr>
        <w:t xml:space="preserve">tré de personnalités de ce genre. Le culte proprement totémique ne s'adresse ni à tels animaux ni à telles plantes déterminées, ni même </w:t>
      </w:r>
      <w:r w:rsidRPr="009A6BD2">
        <w:rPr>
          <w:rFonts w:ascii="Times New Roman" w:hAnsi="Times New Roman" w:cs="Times"/>
        </w:rPr>
        <w:t>à une espèce végétale ou animale, mais à une sorte de vague puissance, dispersée à travers les choses </w:t>
      </w:r>
      <w:r w:rsidRPr="009A6BD2">
        <w:rPr>
          <w:rStyle w:val="Rimandonotaapidipagina"/>
          <w:rFonts w:ascii="Times" w:hAnsi="Times New Roman" w:cs="Times"/>
        </w:rPr>
        <w:footnoteReference w:id="441"/>
      </w:r>
      <w:r w:rsidRPr="009A6BD2">
        <w:rPr>
          <w:rFonts w:ascii="Times New Roman" w:hAnsi="Times New Roman" w:cs="Times"/>
        </w:rPr>
        <w:t>. Même dans les religions plus élevées qui sont sorties du totémisme, comme celles qu'on voit apparaître chez les Indiens de l'Amérique du Nord, cette id</w:t>
      </w:r>
      <w:r w:rsidRPr="009A6BD2">
        <w:rPr>
          <w:rFonts w:ascii="Times New Roman" w:hAnsi="Times New Roman" w:cs="Times"/>
        </w:rPr>
        <w:t>ée, loin de s'effacer, devient plus consciente d'elle-même ; elle s'énonce avec une netteté qu'elle n'avait pas auparavant, en même temps qu'elle parvient à une généralité plus haute. C'est elle qui domine tout le système religieux.</w:t>
      </w:r>
    </w:p>
    <w:p w:rsidR="009A6BD2" w:rsidRPr="009A6BD2" w:rsidRDefault="003E2D0F">
      <w:pPr>
        <w:jc w:val="both"/>
        <w:rPr>
          <w:rStyle w:val="Rimandonotaapidipagina"/>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Telle est la matière p</w:t>
      </w:r>
      <w:r w:rsidRPr="009A6BD2">
        <w:rPr>
          <w:rFonts w:ascii="Times New Roman" w:hAnsi="Times New Roman" w:cs="Times"/>
        </w:rPr>
        <w:t xml:space="preserve">remière avec laquelle ont été construits les êtres de toute sorte que les religions de tous les temps ont consacrés et adorés. Les esprits, les démons, les génies, les dieux de tout degré ne sont que les formes concrètes qu'à prises cette énergie, cette « </w:t>
      </w:r>
      <w:r w:rsidRPr="009A6BD2">
        <w:rPr>
          <w:rFonts w:ascii="Times New Roman" w:hAnsi="Times New Roman" w:cs="Times"/>
        </w:rPr>
        <w:t>potentialité » comme l'appelle Hewitt </w:t>
      </w:r>
      <w:r w:rsidRPr="009A6BD2">
        <w:rPr>
          <w:rStyle w:val="Rimandonotaapidipagina"/>
          <w:rFonts w:ascii="Times" w:hAnsi="Times New Roman" w:cs="Times"/>
        </w:rPr>
        <w:footnoteReference w:id="442"/>
      </w:r>
      <w:r w:rsidRPr="009A6BD2">
        <w:rPr>
          <w:rFonts w:ascii="Times New Roman" w:hAnsi="Times New Roman" w:cs="Times"/>
        </w:rPr>
        <w:t>, en s'individualisant, en se fixant sur tel objet déter</w:t>
      </w:r>
      <w:r w:rsidRPr="009A6BD2">
        <w:rPr>
          <w:rFonts w:ascii="Times" w:hAnsi="Times New Roman" w:cs="Times"/>
        </w:rPr>
        <w:softHyphen/>
      </w:r>
      <w:r w:rsidRPr="009A6BD2">
        <w:rPr>
          <w:rFonts w:ascii="Times New Roman" w:hAnsi="Times New Roman" w:cs="Times"/>
        </w:rPr>
        <w:t>miné ou sur tel point de l'espace, en se concentrant autour d'un être idéal et légendaire, mais conçu comme réel par l'imagination populaire. Un Dakota, interro</w:t>
      </w:r>
      <w:r w:rsidRPr="009A6BD2">
        <w:rPr>
          <w:rFonts w:ascii="Times New Roman" w:hAnsi="Times New Roman" w:cs="Times"/>
        </w:rPr>
        <w:t>gé par Miss Fletcher, exprimait dans un langage plein de relief cette consubstantialité essentielle de toutes les choses sacrées. « Tout ce qui se meut s'arrête ici ou là, à un moment ou à un autre. L'oiseau qui vole s'arrête à un endroit pour faire son ni</w:t>
      </w:r>
      <w:r w:rsidRPr="009A6BD2">
        <w:rPr>
          <w:rFonts w:ascii="Times New Roman" w:hAnsi="Times New Roman" w:cs="Times"/>
        </w:rPr>
        <w:t>d, à un autre pour se reposer de son vol. L'homme qui marche s'arrête quand il lui plaît. Il en est de même de la divinité. Le soleil, si éclatant et si magnifique, est un endroit où elle s'est arrêtée. Les arbres, les animaux en sont d'autres. L'Indien pe</w:t>
      </w:r>
      <w:r w:rsidRPr="009A6BD2">
        <w:rPr>
          <w:rFonts w:ascii="Times New Roman" w:hAnsi="Times New Roman" w:cs="Times"/>
        </w:rPr>
        <w:t>nse à ces endroits et y envoie ses prières afin qu'elles atteignent la place où le dieu a stationné et qu'elles obtiennent assistance et bénédiction » </w:t>
      </w:r>
      <w:r w:rsidRPr="009A6BD2">
        <w:rPr>
          <w:rStyle w:val="Rimandonotaapidipagina"/>
          <w:rFonts w:ascii="Times" w:hAnsi="Times New Roman" w:cs="Times"/>
        </w:rPr>
        <w:footnoteReference w:id="443"/>
      </w:r>
      <w:r w:rsidRPr="009A6BD2">
        <w:rPr>
          <w:rFonts w:ascii="Times New Roman" w:hAnsi="Times New Roman" w:cs="Times"/>
        </w:rPr>
        <w:t>. Autrement dit, le wakan (car c'est de lui qu'il s'agit) va, vient à travers le monde, et les choses sa</w:t>
      </w:r>
      <w:r w:rsidRPr="009A6BD2">
        <w:rPr>
          <w:rFonts w:ascii="Times New Roman" w:hAnsi="Times New Roman" w:cs="Times"/>
        </w:rPr>
        <w:t>crées sont les points où il s'est posé. Nous voilà, cette fois, bien loin du naturisme comme de l'animisme. Si le soleil, la lune, les étoiles ont été adorés, ils n'ont pas dû cet honneur à leur nature intrin</w:t>
      </w:r>
      <w:r w:rsidRPr="009A6BD2">
        <w:rPr>
          <w:rFonts w:ascii="Times" w:hAnsi="Times New Roman" w:cs="Times"/>
        </w:rPr>
        <w:softHyphen/>
      </w:r>
      <w:r w:rsidRPr="009A6BD2">
        <w:rPr>
          <w:rFonts w:ascii="Times New Roman" w:hAnsi="Times New Roman" w:cs="Times"/>
        </w:rPr>
        <w:t xml:space="preserve">sèque, à leurs propriétés distinctives, mais à </w:t>
      </w:r>
      <w:r w:rsidRPr="009A6BD2">
        <w:rPr>
          <w:rFonts w:ascii="Times New Roman" w:hAnsi="Times New Roman" w:cs="Times"/>
        </w:rPr>
        <w:t>ce qu'ils ont été conçus comme participant de cette force qui, seule, confère aux choses leur caractère sacré, et qui se retrouve dans une multitude d'autres êtres, voire même les plus infimes. Si les âmes des morts ont été l'objet de rites, ce n'est pas p</w:t>
      </w:r>
      <w:r w:rsidRPr="009A6BD2">
        <w:rPr>
          <w:rFonts w:ascii="Times New Roman" w:hAnsi="Times New Roman" w:cs="Times"/>
        </w:rPr>
        <w:t>arce qu'elles passent pour être faites d'une sorte de substance fluide et impalpable; ce n'est pas parce qu'elles ressemblent à l'ombre projetée par un corps ou à son reflet sur la surface des eaux. La légèreté, la fluidité ne suffisent pas à conférer la s</w:t>
      </w:r>
      <w:r w:rsidRPr="009A6BD2">
        <w:rPr>
          <w:rFonts w:ascii="Times New Roman" w:hAnsi="Times New Roman" w:cs="Times"/>
        </w:rPr>
        <w:t>ainteté ; niais elle n'ont été investies de cette dignité que dans la mesure où il y avait en elles quelque chose de cette même force, source toute de religiosité.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peut mieux comprendre maintenant pourquoi il nous a été impossible de définir la religio</w:t>
      </w:r>
      <w:r w:rsidRPr="009A6BD2">
        <w:rPr>
          <w:rFonts w:ascii="Times New Roman" w:hAnsi="Times New Roman" w:cs="Times"/>
        </w:rPr>
        <w:t>n par l'idée de personnalités mythiques, dieux ou esprits ; c'est que cette manière de se représenter les choses religieuses n'est nullement inhérente à leur nature. Ce que nous trou</w:t>
      </w:r>
      <w:r w:rsidRPr="009A6BD2">
        <w:rPr>
          <w:rFonts w:ascii="Times" w:hAnsi="Times New Roman" w:cs="Times"/>
        </w:rPr>
        <w:softHyphen/>
      </w:r>
      <w:r w:rsidRPr="009A6BD2">
        <w:rPr>
          <w:rFonts w:ascii="Times New Roman" w:hAnsi="Times New Roman" w:cs="Times"/>
        </w:rPr>
        <w:t>vons à l'origine et à la base de la pensée religieuse, ce ne sont pas des</w:t>
      </w:r>
      <w:r w:rsidRPr="009A6BD2">
        <w:rPr>
          <w:rFonts w:ascii="Times New Roman" w:hAnsi="Times New Roman" w:cs="Times"/>
        </w:rPr>
        <w:t xml:space="preserve"> objets ou des êtres déter</w:t>
      </w:r>
      <w:r w:rsidRPr="009A6BD2">
        <w:rPr>
          <w:rFonts w:ascii="Times" w:hAnsi="Times New Roman" w:cs="Times"/>
        </w:rPr>
        <w:softHyphen/>
      </w:r>
      <w:r w:rsidRPr="009A6BD2">
        <w:rPr>
          <w:rFonts w:ascii="Times" w:hAnsi="Times New Roman" w:cs="Times"/>
        </w:rPr>
        <w:softHyphen/>
      </w:r>
      <w:r w:rsidRPr="009A6BD2">
        <w:rPr>
          <w:rFonts w:ascii="Times New Roman" w:hAnsi="Times New Roman" w:cs="Times"/>
        </w:rPr>
        <w:t>minés et distincts qui possèdent par eux-mêmes un caractère sacré ; mais ce sont des pou</w:t>
      </w:r>
      <w:r w:rsidRPr="009A6BD2">
        <w:rPr>
          <w:rFonts w:ascii="Times" w:hAnsi="Times New Roman" w:cs="Times"/>
        </w:rPr>
        <w:softHyphen/>
      </w:r>
      <w:r w:rsidRPr="009A6BD2">
        <w:rPr>
          <w:rFonts w:ascii="Times New Roman" w:hAnsi="Times New Roman" w:cs="Times"/>
        </w:rPr>
        <w:t>voirs indéfinis, des forces anonymes, plus ou moins nombreuses selon les sociétés, parfois même ramenées à l'unité, et dont l'impersonnalit</w:t>
      </w:r>
      <w:r w:rsidRPr="009A6BD2">
        <w:rPr>
          <w:rFonts w:ascii="Times New Roman" w:hAnsi="Times New Roman" w:cs="Times"/>
        </w:rPr>
        <w:t>é est strictement comparable à celle des forces physiques dont les sciences de la nature étudient les Manifestations. Quant aux choses sacrées particulières, elles ne sont que des formes individualisées de ce principe essen</w:t>
      </w:r>
      <w:r w:rsidRPr="009A6BD2">
        <w:rPr>
          <w:rFonts w:ascii="Times" w:hAnsi="Times New Roman" w:cs="Times"/>
        </w:rPr>
        <w:softHyphen/>
      </w:r>
      <w:r w:rsidRPr="009A6BD2">
        <w:rPr>
          <w:rFonts w:ascii="Times New Roman" w:hAnsi="Times New Roman" w:cs="Times"/>
        </w:rPr>
        <w:t>tiel. Il n'est donc pas surprena</w:t>
      </w:r>
      <w:r w:rsidRPr="009A6BD2">
        <w:rPr>
          <w:rFonts w:ascii="Times New Roman" w:hAnsi="Times New Roman" w:cs="Times"/>
        </w:rPr>
        <w:t>nt que, même dans les religions où il existe des divinités avérées, il y ait des rites qui possèdent une vertu efficace par eux-mêmes et indépendamment de toute intervention divine. C'est que cette force peut s'attacher aux paroles prononcées, aux gestes e</w:t>
      </w:r>
      <w:r w:rsidRPr="009A6BD2">
        <w:rPr>
          <w:rFonts w:ascii="Times New Roman" w:hAnsi="Times New Roman" w:cs="Times"/>
        </w:rPr>
        <w:t>ffectués, aussi bien qu'à des substances corporelles ; la voix, les mouvements peuvent lui servir de véhicule, et, par leur intermédiaire, elle peut produire les effets qui sont en elle, sans qu'aucun dieu ni aucun esprit lui prêtent leur concours. Même, q</w:t>
      </w:r>
      <w:r w:rsidRPr="009A6BD2">
        <w:rPr>
          <w:rFonts w:ascii="Times New Roman" w:hAnsi="Times New Roman" w:cs="Times"/>
        </w:rPr>
        <w:t>u'elle vienne à se concentrer éminemment dans un rite, et celui-ci deviendra, par elle, créateur de divinités </w:t>
      </w:r>
      <w:r w:rsidRPr="009A6BD2">
        <w:rPr>
          <w:rStyle w:val="Rimandonotaapidipagina"/>
          <w:rFonts w:ascii="Times" w:hAnsi="Times New Roman" w:cs="Times"/>
        </w:rPr>
        <w:footnoteReference w:id="444"/>
      </w:r>
      <w:r w:rsidRPr="009A6BD2">
        <w:rPr>
          <w:rFonts w:ascii="Times New Roman" w:hAnsi="Times New Roman" w:cs="Times"/>
        </w:rPr>
        <w:t>. Voilà aussi pourquoi il n'y a peut-être pas de personnalité divine qui ne garde quelque chose d'impersonnel. Ceux-là même qui se la représenten</w:t>
      </w:r>
      <w:r w:rsidRPr="009A6BD2">
        <w:rPr>
          <w:rFonts w:ascii="Times New Roman" w:hAnsi="Times New Roman" w:cs="Times"/>
        </w:rPr>
        <w:t>t le plus clairement sous une forme concrète et sensible, la pensent, en même temps, comme un pouvoir abstrait qui ne peut se définir que par la nature de son efficacité, comme une force qui se déploie dans l'espace et qui est, au moins en partie, dans cha</w:t>
      </w:r>
      <w:r w:rsidRPr="009A6BD2">
        <w:rPr>
          <w:rFonts w:ascii="Times New Roman" w:hAnsi="Times New Roman" w:cs="Times"/>
        </w:rPr>
        <w:t>cun de ses effets. C'est le pouvoir de produire la pluie ou le vent, la moisson ou la lumière du jour; Zeus est dans chacune des gouttes de pluie qui tombent comme Cérès dans chacune des gerbes de la moisson </w:t>
      </w:r>
      <w:r w:rsidRPr="009A6BD2">
        <w:rPr>
          <w:rStyle w:val="Rimandonotaapidipagina"/>
          <w:rFonts w:ascii="Times" w:hAnsi="Times New Roman" w:cs="Times"/>
        </w:rPr>
        <w:footnoteReference w:id="445"/>
      </w:r>
      <w:r w:rsidRPr="009A6BD2">
        <w:rPr>
          <w:rFonts w:ascii="Times New Roman" w:hAnsi="Times New Roman" w:cs="Times"/>
        </w:rPr>
        <w:t>. Le plus souvent même, cette efficacité est si</w:t>
      </w:r>
      <w:r w:rsidRPr="009A6BD2">
        <w:rPr>
          <w:rFonts w:ascii="Times New Roman" w:hAnsi="Times New Roman" w:cs="Times"/>
        </w:rPr>
        <w:t xml:space="preserve"> imparfaitement déterminée que le croyant ne peut en avoir qu'une notion très indécise. C'est, d'ailleurs, cette indécision qui a rendu possibles ces syncrétismes et ces dédoublements au cours desquels les dieux se sont fragmentés, démembrés, confondus de </w:t>
      </w:r>
      <w:r w:rsidRPr="009A6BD2">
        <w:rPr>
          <w:rFonts w:ascii="Times New Roman" w:hAnsi="Times New Roman" w:cs="Times"/>
        </w:rPr>
        <w:t>toutes les manières. Il n'est peut-être pas une religion où le mana originel, qu'il soit unique ou plural, se soit résolu tout entier en un nombre bien défini d'êtres discrets et incommunicables les uns aux autres ; chacun d'eux garde toujours comme un nim</w:t>
      </w:r>
      <w:r w:rsidRPr="009A6BD2">
        <w:rPr>
          <w:rFonts w:ascii="Times New Roman" w:hAnsi="Times New Roman" w:cs="Times"/>
        </w:rPr>
        <w:t>be d'impersonnalisme qui le rend apte à entrer dans des combinaisons nouvelles, et cela non par suite d'une simple survi</w:t>
      </w:r>
      <w:r w:rsidRPr="009A6BD2">
        <w:rPr>
          <w:rFonts w:ascii="Times" w:hAnsi="Times New Roman" w:cs="Times"/>
        </w:rPr>
        <w:softHyphen/>
      </w:r>
      <w:r w:rsidRPr="009A6BD2">
        <w:rPr>
          <w:rFonts w:ascii="Times New Roman" w:hAnsi="Times New Roman" w:cs="Times"/>
        </w:rPr>
        <w:t>vance, mais parce qu'il est dans la nature des forces religieuses de ne pouvoir s'individualiser complètement.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Cette conception que no</w:t>
      </w:r>
      <w:r w:rsidRPr="009A6BD2">
        <w:rPr>
          <w:rFonts w:ascii="Times New Roman" w:hAnsi="Times New Roman" w:cs="Times"/>
        </w:rPr>
        <w:t>us a suggérée la seule étude du totémisme a, en outre, pour elle, que plusieurs savants y ont été récemment conduits au cours de recherches très différentes, et indépendamment les uns des autres. Il tend à se produire sur ce point une concordance spontanée</w:t>
      </w:r>
      <w:r w:rsidRPr="009A6BD2">
        <w:rPr>
          <w:rFonts w:ascii="Times New Roman" w:hAnsi="Times New Roman" w:cs="Times"/>
        </w:rPr>
        <w:t xml:space="preserve"> qui mérite d'être remarquée, car elle est une présomption d'objectivité.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Dès </w:t>
      </w:r>
      <w:r w:rsidRPr="009A6BD2">
        <w:rPr>
          <w:rFonts w:ascii="Times New Roman" w:hAnsi="Times New Roman" w:cs="Times"/>
          <w:i/>
          <w:iCs/>
        </w:rPr>
        <w:t xml:space="preserve">1899, </w:t>
      </w:r>
      <w:r w:rsidRPr="009A6BD2">
        <w:rPr>
          <w:rFonts w:ascii="Times New Roman" w:hAnsi="Times New Roman" w:cs="Times"/>
        </w:rPr>
        <w:t>nous montrions la nécessité de ne faire entrer dans la définition du fait reli</w:t>
      </w:r>
      <w:r w:rsidRPr="009A6BD2">
        <w:rPr>
          <w:rFonts w:ascii="Times" w:hAnsi="Times New Roman" w:cs="Times"/>
        </w:rPr>
        <w:softHyphen/>
      </w:r>
      <w:r w:rsidRPr="009A6BD2">
        <w:rPr>
          <w:rFonts w:ascii="Times New Roman" w:hAnsi="Times New Roman" w:cs="Times"/>
        </w:rPr>
        <w:t>gieux aucune notion de personnalité mythique </w:t>
      </w:r>
      <w:r w:rsidRPr="009A6BD2">
        <w:rPr>
          <w:rStyle w:val="Rimandonotaapidipagina"/>
          <w:rFonts w:ascii="Times" w:hAnsi="Times New Roman" w:cs="Times"/>
        </w:rPr>
        <w:footnoteReference w:id="446"/>
      </w:r>
      <w:r w:rsidRPr="009A6BD2">
        <w:rPr>
          <w:rFonts w:ascii="Times New Roman" w:hAnsi="Times New Roman" w:cs="Times"/>
        </w:rPr>
        <w:t>. En 1900, Marrett signalait l'existence d'une</w:t>
      </w:r>
      <w:r w:rsidRPr="009A6BD2">
        <w:rPr>
          <w:rFonts w:ascii="Times New Roman" w:hAnsi="Times New Roman" w:cs="Times"/>
        </w:rPr>
        <w:t xml:space="preserve"> phase religieuse qu'il appelait </w:t>
      </w:r>
      <w:r w:rsidRPr="009A6BD2">
        <w:rPr>
          <w:rFonts w:ascii="Times New Roman" w:hAnsi="Times New Roman" w:cs="Times"/>
          <w:i/>
          <w:iCs/>
        </w:rPr>
        <w:t xml:space="preserve">préanimiste, </w:t>
      </w:r>
      <w:r w:rsidRPr="009A6BD2">
        <w:rPr>
          <w:rFonts w:ascii="Times New Roman" w:hAnsi="Times New Roman" w:cs="Times"/>
        </w:rPr>
        <w:t>et où les rites se seraient adressés à des forces impersonnelles, telles que le mana mélanésien ou le wakan des Omaha et des Dakota </w:t>
      </w:r>
      <w:r w:rsidRPr="009A6BD2">
        <w:rPr>
          <w:rStyle w:val="Rimandonotaapidipagina"/>
          <w:rFonts w:ascii="Times" w:hAnsi="Times New Roman" w:cs="Times"/>
        </w:rPr>
        <w:footnoteReference w:id="447"/>
      </w:r>
      <w:r w:rsidRPr="009A6BD2">
        <w:rPr>
          <w:rFonts w:ascii="Times New Roman" w:hAnsi="Times New Roman" w:cs="Times"/>
        </w:rPr>
        <w:t>. Toutefois, Marrett n'allait pas jusqu'à soutenir que, toujours et dans tous</w:t>
      </w:r>
      <w:r w:rsidRPr="009A6BD2">
        <w:rPr>
          <w:rFonts w:ascii="Times New Roman" w:hAnsi="Times New Roman" w:cs="Times"/>
        </w:rPr>
        <w:t xml:space="preserve"> les cas, la notion d'esprit est logiquement ou chronologiquement postérieure à celle de mana et en est dérivée ; il paraissait même disposé à admettre qu'elle s'est parfois constituée d'une manière indépen</w:t>
      </w:r>
      <w:r w:rsidRPr="009A6BD2">
        <w:rPr>
          <w:rFonts w:ascii="Times" w:hAnsi="Times New Roman" w:cs="Times"/>
        </w:rPr>
        <w:softHyphen/>
      </w:r>
      <w:r w:rsidRPr="009A6BD2">
        <w:rPr>
          <w:rFonts w:ascii="Times New Roman" w:hAnsi="Times New Roman" w:cs="Times"/>
        </w:rPr>
        <w:t>dante et que, par suite la pensée religieuse déco</w:t>
      </w:r>
      <w:r w:rsidRPr="009A6BD2">
        <w:rPr>
          <w:rFonts w:ascii="Times New Roman" w:hAnsi="Times New Roman" w:cs="Times"/>
        </w:rPr>
        <w:t>ule d'une double source </w:t>
      </w:r>
      <w:r w:rsidRPr="009A6BD2">
        <w:rPr>
          <w:rStyle w:val="Rimandonotaapidipagina"/>
          <w:rFonts w:ascii="Times" w:hAnsi="Times New Roman" w:cs="Times"/>
        </w:rPr>
        <w:footnoteReference w:id="448"/>
      </w:r>
      <w:r w:rsidRPr="009A6BD2">
        <w:rPr>
          <w:rFonts w:ascii="Times New Roman" w:hAnsi="Times New Roman" w:cs="Times"/>
        </w:rPr>
        <w:t>. D'autre part, il concevait le mana comme une propriété inhérente aux choses, comme un élément de leur physionomie ; car, suivant lui, ce serait tout simplement le caractère que nous attribuons à tout ce qui passe l'ordinaire, à t</w:t>
      </w:r>
      <w:r w:rsidRPr="009A6BD2">
        <w:rPr>
          <w:rFonts w:ascii="Times New Roman" w:hAnsi="Times New Roman" w:cs="Times"/>
        </w:rPr>
        <w:t>out ce qui nous inspire un sentiment de crainte ou d'admi</w:t>
      </w:r>
      <w:r w:rsidRPr="009A6BD2">
        <w:rPr>
          <w:rFonts w:ascii="Times" w:hAnsi="Times New Roman" w:cs="Times"/>
        </w:rPr>
        <w:softHyphen/>
      </w:r>
      <w:r w:rsidRPr="009A6BD2">
        <w:rPr>
          <w:rFonts w:ascii="Times New Roman" w:hAnsi="Times New Roman" w:cs="Times"/>
        </w:rPr>
        <w:t>ration </w:t>
      </w:r>
      <w:r w:rsidRPr="009A6BD2">
        <w:rPr>
          <w:rStyle w:val="Rimandonotaapidipagina"/>
          <w:rFonts w:ascii="Times" w:hAnsi="Times New Roman" w:cs="Times"/>
        </w:rPr>
        <w:footnoteReference w:id="449"/>
      </w:r>
      <w:r w:rsidRPr="009A6BD2">
        <w:rPr>
          <w:rFonts w:ascii="Times New Roman" w:hAnsi="Times New Roman" w:cs="Times"/>
        </w:rPr>
        <w:t>. C'était presque revenir à la théorie naturiste </w:t>
      </w:r>
      <w:r w:rsidRPr="009A6BD2">
        <w:rPr>
          <w:rStyle w:val="Rimandonotaapidipagina"/>
          <w:rFonts w:ascii="Times" w:hAnsi="Times New Roman" w:cs="Times"/>
        </w:rPr>
        <w:footnoteReference w:id="450"/>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Peu de temps après, MM. Hubert et Mauss, entreprenant de faire une théorie générale de la magie, établissaient que la magie tout entière </w:t>
      </w:r>
      <w:r w:rsidRPr="009A6BD2">
        <w:rPr>
          <w:rFonts w:ascii="Times New Roman" w:hAnsi="Times New Roman" w:cs="Times"/>
        </w:rPr>
        <w:t>repose sur la notion de mana </w:t>
      </w:r>
      <w:r w:rsidRPr="009A6BD2">
        <w:rPr>
          <w:rStyle w:val="Rimandonotaapidipagina"/>
          <w:rFonts w:ascii="Times" w:hAnsi="Times New Roman" w:cs="Times"/>
        </w:rPr>
        <w:footnoteReference w:id="451"/>
      </w:r>
      <w:r w:rsidRPr="009A6BD2">
        <w:rPr>
          <w:rFonts w:ascii="Times New Roman" w:hAnsi="Times New Roman" w:cs="Times"/>
        </w:rPr>
        <w:t>. Étant donnée l'étroite parenté du rite magique et du rite religieux, on pouvait prévoir que la même théorie devait être applicable à la religion. C'est ce que soutint Preuss dans une série d'articles qui parurent dans le Glo</w:t>
      </w:r>
      <w:r w:rsidRPr="009A6BD2">
        <w:rPr>
          <w:rFonts w:ascii="Times New Roman" w:hAnsi="Times New Roman" w:cs="Times"/>
        </w:rPr>
        <w:t>bus </w:t>
      </w:r>
      <w:r w:rsidRPr="009A6BD2">
        <w:rPr>
          <w:rStyle w:val="Rimandonotaapidipagina"/>
          <w:rFonts w:ascii="Times" w:hAnsi="Times New Roman" w:cs="Times"/>
        </w:rPr>
        <w:footnoteReference w:id="452"/>
      </w:r>
      <w:r w:rsidRPr="009A6BD2">
        <w:rPr>
          <w:rFonts w:ascii="Times New Roman" w:hAnsi="Times New Roman" w:cs="Times"/>
        </w:rPr>
        <w:t xml:space="preserve"> la même année. S'appuyant sur des faits empruntés de préférence aux civilisations américaines, Preuss s'attacha à démontrer que les idées d'âme et d'esprit ne se sont constituées qu'après celles de pouvoir et de force impersonnelle, que les premières</w:t>
      </w:r>
      <w:r w:rsidRPr="009A6BD2">
        <w:rPr>
          <w:rFonts w:ascii="Times New Roman" w:hAnsi="Times New Roman" w:cs="Times"/>
        </w:rPr>
        <w:t xml:space="preserve"> ne sont qu'une transformation des secondes et qu'elles gardent, jusqu'à une époque relativement tardive, la marque de leur impersonnalité première. Il fit voir, en effet, que, même dans des religions avancées, on se les représente sous la forme de vagues </w:t>
      </w:r>
      <w:r w:rsidRPr="009A6BD2">
        <w:rPr>
          <w:rFonts w:ascii="Times New Roman" w:hAnsi="Times New Roman" w:cs="Times"/>
        </w:rPr>
        <w:t xml:space="preserve">effluves qui se dégagent automatiquement des choses dans lesquelles elles résident, qui tendent même parfois à s'en échapper par toutes les voies qui leur sont ouvertes : la bouche, le nez, tous les orifices du corps, l'haleine, le regard, la parole, etc. </w:t>
      </w:r>
      <w:r w:rsidRPr="009A6BD2">
        <w:rPr>
          <w:rFonts w:ascii="Times New Roman" w:hAnsi="Times New Roman" w:cs="Times"/>
        </w:rPr>
        <w:t>En même temps, Preuss montrait tout ce qu'elles ont de protéimorphe, l'extrême plasticité qui leur permet de se prêter successivement et presque concurremment aux emplois les plus variés </w:t>
      </w:r>
      <w:r w:rsidRPr="009A6BD2">
        <w:rPr>
          <w:rStyle w:val="Rimandonotaapidipagina"/>
          <w:rFonts w:ascii="Times" w:hAnsi="Times New Roman" w:cs="Times"/>
        </w:rPr>
        <w:footnoteReference w:id="453"/>
      </w:r>
      <w:r w:rsidRPr="009A6BD2">
        <w:rPr>
          <w:rFonts w:ascii="Times New Roman" w:hAnsi="Times New Roman" w:cs="Times"/>
        </w:rPr>
        <w:t>. Il est vrai que, si l'on s'en tenait à la lettre de la terminologi</w:t>
      </w:r>
      <w:r w:rsidRPr="009A6BD2">
        <w:rPr>
          <w:rFonts w:ascii="Times New Roman" w:hAnsi="Times New Roman" w:cs="Times"/>
        </w:rPr>
        <w:t xml:space="preserve">e employée par cet auteur, on pourrait croire que ces forces sont pour lui de nature magique, et non religieuse : il les appelle des charmes </w:t>
      </w:r>
      <w:r w:rsidRPr="009A6BD2">
        <w:rPr>
          <w:rFonts w:ascii="Times New Roman" w:hAnsi="Times New Roman" w:cs="Times"/>
          <w:i/>
          <w:iCs/>
        </w:rPr>
        <w:t xml:space="preserve">(Zauber, Zauberkräfte). </w:t>
      </w:r>
      <w:r w:rsidRPr="009A6BD2">
        <w:rPr>
          <w:rFonts w:ascii="Times New Roman" w:hAnsi="Times New Roman" w:cs="Times"/>
        </w:rPr>
        <w:t>Mais il est visible qu'en s'exprimant ainsi il n'entend pas les mettre en dehors de la reli</w:t>
      </w:r>
      <w:r w:rsidRPr="009A6BD2">
        <w:rPr>
          <w:rFonts w:ascii="Times New Roman" w:hAnsi="Times New Roman" w:cs="Times"/>
        </w:rPr>
        <w:t>gion ; car c'est dans des rites essentiellement religieux qu'il les montre agissantes, par exemple dans les grandes cérémonies mexicaines </w:t>
      </w:r>
      <w:r w:rsidRPr="009A6BD2">
        <w:rPr>
          <w:rStyle w:val="Rimandonotaapidipagina"/>
          <w:rFonts w:ascii="Times" w:hAnsi="Times New Roman" w:cs="Times"/>
        </w:rPr>
        <w:footnoteReference w:id="454"/>
      </w:r>
      <w:r w:rsidRPr="009A6BD2">
        <w:rPr>
          <w:rFonts w:ascii="Times New Roman" w:hAnsi="Times New Roman" w:cs="Times"/>
        </w:rPr>
        <w:t>. S'il se sert de ces expressions, c'est, sans doute, à défaut d'autres qui marquent mieux l'impersonnalité de ces fo</w:t>
      </w:r>
      <w:r w:rsidRPr="009A6BD2">
        <w:rPr>
          <w:rFonts w:ascii="Times New Roman" w:hAnsi="Times New Roman" w:cs="Times"/>
        </w:rPr>
        <w:t>rces, et l'espèce de mécanisme suivant lequel elles opèrent.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de tous côtés, la même idée tend à se faire jour </w:t>
      </w:r>
      <w:r w:rsidRPr="009A6BD2">
        <w:rPr>
          <w:rStyle w:val="Rimandonotaapidipagina"/>
          <w:rFonts w:ascii="Times" w:hAnsi="Times New Roman" w:cs="Times"/>
        </w:rPr>
        <w:footnoteReference w:id="455"/>
      </w:r>
      <w:r w:rsidRPr="009A6BD2">
        <w:rPr>
          <w:rFonts w:ascii="Times New Roman" w:hAnsi="Times New Roman" w:cs="Times"/>
        </w:rPr>
        <w:t>. De plus en plus, on a l'impression que les constructions mythologiques, même les plus élémentaires, sont des produits secon</w:t>
      </w:r>
      <w:r w:rsidRPr="009A6BD2">
        <w:rPr>
          <w:rFonts w:ascii="Times" w:hAnsi="Times New Roman" w:cs="Times"/>
        </w:rPr>
        <w:softHyphen/>
      </w:r>
      <w:r w:rsidRPr="009A6BD2">
        <w:rPr>
          <w:rFonts w:ascii="Times New Roman" w:hAnsi="Times New Roman" w:cs="Times"/>
        </w:rPr>
        <w:t>daires </w:t>
      </w:r>
      <w:r w:rsidRPr="009A6BD2">
        <w:rPr>
          <w:rStyle w:val="Rimandonotaapidipagina"/>
          <w:rFonts w:ascii="Times" w:hAnsi="Times New Roman" w:cs="Times"/>
        </w:rPr>
        <w:footnoteReference w:id="456"/>
      </w:r>
      <w:r w:rsidRPr="009A6BD2">
        <w:rPr>
          <w:rFonts w:ascii="Times New Roman" w:hAnsi="Times New Roman" w:cs="Times"/>
        </w:rPr>
        <w:t xml:space="preserve"> et</w:t>
      </w:r>
      <w:r w:rsidRPr="009A6BD2">
        <w:rPr>
          <w:rFonts w:ascii="Times New Roman" w:hAnsi="Times New Roman" w:cs="Times"/>
        </w:rPr>
        <w:t xml:space="preserve"> recouvrent un fond de croyances, à la fois plus simples et plus obscures, plus vagues et plus essentielles, qui constituent les bases solides sur lesquelles les systèmes reli</w:t>
      </w:r>
      <w:r w:rsidRPr="009A6BD2">
        <w:rPr>
          <w:rFonts w:ascii="Times" w:hAnsi="Times New Roman" w:cs="Times"/>
        </w:rPr>
        <w:softHyphen/>
      </w:r>
      <w:r w:rsidRPr="009A6BD2">
        <w:rPr>
          <w:rFonts w:ascii="Times New Roman" w:hAnsi="Times New Roman" w:cs="Times"/>
        </w:rPr>
        <w:t>gieux se sont édifiés. C'est ce fond primitif que nous a permis d'atteindre l'an</w:t>
      </w:r>
      <w:r w:rsidRPr="009A6BD2">
        <w:rPr>
          <w:rFonts w:ascii="Times New Roman" w:hAnsi="Times New Roman" w:cs="Times"/>
        </w:rPr>
        <w:t>alyse du toté</w:t>
      </w:r>
      <w:r w:rsidRPr="009A6BD2">
        <w:rPr>
          <w:rFonts w:ascii="Times" w:hAnsi="Times New Roman" w:cs="Times"/>
        </w:rPr>
        <w:softHyphen/>
      </w:r>
      <w:r w:rsidRPr="009A6BD2">
        <w:rPr>
          <w:rFonts w:ascii="Times New Roman" w:hAnsi="Times New Roman" w:cs="Times"/>
        </w:rPr>
        <w:t>mis</w:t>
      </w:r>
      <w:r w:rsidRPr="009A6BD2">
        <w:rPr>
          <w:rFonts w:ascii="Times" w:hAnsi="Times New Roman" w:cs="Times"/>
        </w:rPr>
        <w:softHyphen/>
      </w:r>
      <w:r w:rsidRPr="009A6BD2">
        <w:rPr>
          <w:rFonts w:ascii="Times New Roman" w:hAnsi="Times New Roman" w:cs="Times"/>
        </w:rPr>
        <w:t>me. Les divers écrivains dont nous venons de rappeler les recherches n'étaient arrivés à cette conception qu'à travers des faits empruntés à des religions très diverses et dont quelques-unes même correspondent à une civilisation déjà fort</w:t>
      </w:r>
      <w:r w:rsidRPr="009A6BD2">
        <w:rPr>
          <w:rFonts w:ascii="Times New Roman" w:hAnsi="Times New Roman" w:cs="Times"/>
        </w:rPr>
        <w:t xml:space="preserve"> avancée : telles sont, par exemple, les religions du Mexique dont s'est beaucoup servi Preuss. On pouvait donc se demander si la théorie s'appliquait également aux religions les plus simples. Mais puisqu'on ne peut descendre plus bas que le totémisme, nou</w:t>
      </w:r>
      <w:r w:rsidRPr="009A6BD2">
        <w:rPr>
          <w:rFonts w:ascii="Times New Roman" w:hAnsi="Times New Roman" w:cs="Times"/>
        </w:rPr>
        <w:t>s ne sommes pas exposés à ce risque d'erreur et, en même temps, nous avons des chances d'avoir trouvé la notion initiale dont les idées de wakan et de mana sont dérivées : c'est la notion du principe totémique </w:t>
      </w:r>
      <w:r w:rsidRPr="009A6BD2">
        <w:rPr>
          <w:rStyle w:val="Rimandonotaapidipagina"/>
          <w:rFonts w:ascii="Times" w:hAnsi="Times New Roman" w:cs="Times"/>
        </w:rPr>
        <w:footnoteReference w:id="45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35" w:name="livre_2_chap_6_4"/>
      <w:r w:rsidRPr="009A6BD2">
        <w:rPr>
          <w:rFonts w:ascii="Times New Roman" w:hAnsi="Times New Roman"/>
        </w:rPr>
        <w:t>IV</w:t>
      </w:r>
    </w:p>
    <w:bookmarkEnd w:id="35"/>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Mais cette notion n'est pas seulement d'une importance primordiale, à cause du rôle qu'elle a joué dans le développement des idées religieuses ; elle a aussi un aspect laïque par oh elle intéresse l'histoire de la pensée scientifique. C'est la première</w:t>
      </w:r>
      <w:r w:rsidRPr="009A6BD2">
        <w:rPr>
          <w:rFonts w:ascii="Times New Roman" w:hAnsi="Times New Roman" w:cs="Times"/>
        </w:rPr>
        <w:t xml:space="preserve"> forme de l'a notion de force.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wakan, en effet, joue dans le monde, tel que se le représentent les Sioux, le même rôle que les forces par lesquelles la science explique les divers phénomènes de la nature. Ce n'est pas qu'il soit pensé sous la forme d'u</w:t>
      </w:r>
      <w:r w:rsidRPr="009A6BD2">
        <w:rPr>
          <w:rFonts w:ascii="Times New Roman" w:hAnsi="Times New Roman" w:cs="Times"/>
        </w:rPr>
        <w:t>ne énergie exclusivement physique ; nous verrons, au contraire, dans le chapitre suivant que les éléments qui servent à en former l'idée sont pris aux règnes les plus différents. Mais cette nature composite lui permet précisément d'être utilisé comme un pr</w:t>
      </w:r>
      <w:r w:rsidRPr="009A6BD2">
        <w:rPr>
          <w:rFonts w:ascii="Times New Roman" w:hAnsi="Times New Roman" w:cs="Times"/>
        </w:rPr>
        <w:t>incipe d'explication universelle. C'est de lui que vient toute vie </w:t>
      </w:r>
      <w:r w:rsidRPr="009A6BD2">
        <w:rPr>
          <w:rStyle w:val="Rimandonotaapidipagina"/>
          <w:rFonts w:ascii="Times" w:hAnsi="Times New Roman" w:cs="Times"/>
        </w:rPr>
        <w:footnoteReference w:id="458"/>
      </w:r>
      <w:r w:rsidRPr="009A6BD2">
        <w:rPr>
          <w:rFonts w:ascii="Times New Roman" w:hAnsi="Times New Roman" w:cs="Times"/>
        </w:rPr>
        <w:t xml:space="preserve"> ; « toute vie est wakan » ; et par ce mot de vie il faut entendre tout ce qui agit et réagit, tout ce qui meut ou est mû, aussi bien dans le règne minéral que dans le règne biologique. Le</w:t>
      </w:r>
      <w:r w:rsidRPr="009A6BD2">
        <w:rPr>
          <w:rFonts w:ascii="Times New Roman" w:hAnsi="Times New Roman" w:cs="Times"/>
        </w:rPr>
        <w:t xml:space="preserve"> wakan, c'est la cause de tous les mouve</w:t>
      </w:r>
      <w:r w:rsidRPr="009A6BD2">
        <w:rPr>
          <w:rFonts w:ascii="Times" w:hAnsi="Times New Roman" w:cs="Times"/>
        </w:rPr>
        <w:softHyphen/>
      </w:r>
      <w:r w:rsidRPr="009A6BD2">
        <w:rPr>
          <w:rFonts w:ascii="Times New Roman" w:hAnsi="Times New Roman" w:cs="Times"/>
        </w:rPr>
        <w:t>ments qui se produisent dans l'univers. Nous avons vu de même que l'orenda des Iroquois est « la cause efficiente de tous les phénomènes, et de toutes les activités qui se manifestent autour de l'homme ». C'est un p</w:t>
      </w:r>
      <w:r w:rsidRPr="009A6BD2">
        <w:rPr>
          <w:rFonts w:ascii="Times New Roman" w:hAnsi="Times New Roman" w:cs="Times"/>
        </w:rPr>
        <w:t>ouvoir « inhérent à tous les corps, à toutes les choses </w:t>
      </w:r>
      <w:r w:rsidRPr="009A6BD2">
        <w:rPr>
          <w:rStyle w:val="Rimandonotaapidipagina"/>
          <w:rFonts w:ascii="Times" w:hAnsi="Times New Roman" w:cs="Times"/>
        </w:rPr>
        <w:footnoteReference w:id="459"/>
      </w:r>
      <w:r w:rsidRPr="009A6BD2">
        <w:rPr>
          <w:rFonts w:ascii="Times New Roman" w:hAnsi="Times New Roman" w:cs="Times"/>
        </w:rPr>
        <w:t xml:space="preserve"> ». C'est l'orenda qui fait que le vent souffle, que le soleil éclaire et échauffe la terre, que les plantes poussent, que les animaux se reproduisent, que l'homme est fort, habile, intelligent. Quan</w:t>
      </w:r>
      <w:r w:rsidRPr="009A6BD2">
        <w:rPr>
          <w:rFonts w:ascii="Times New Roman" w:hAnsi="Times New Roman" w:cs="Times"/>
        </w:rPr>
        <w:t>d l'Iroquois dit que la vie de la nature tout entière est le produit des conflits qui s'établissent entre les orenda, inégalement intenses, des différents êtres, il ne fait qu'exprimer en son langage cette idée moderne que le monde est un système de forces</w:t>
      </w:r>
      <w:r w:rsidRPr="009A6BD2">
        <w:rPr>
          <w:rFonts w:ascii="Times New Roman" w:hAnsi="Times New Roman" w:cs="Times"/>
        </w:rPr>
        <w:t xml:space="preserve"> qui se limitent, se contiennent et se font équilibre.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Mélanésien attribue au mana le même genre d'efficacité. C'est grâce à son mana qu'un homme réussit à la chasse on à la guerre, que ses jardins ont un bon rendement, que ses troupeaux prospèrent. Si</w:t>
      </w:r>
      <w:r w:rsidRPr="009A6BD2">
        <w:rPr>
          <w:rFonts w:ascii="Times New Roman" w:hAnsi="Times New Roman" w:cs="Times"/>
        </w:rPr>
        <w:t xml:space="preserve"> la flèche atteint son but, c'est qu'elle est chargée de mana ; c'est la même raison qui fait qu'un filet prend bien le poisson, qu'un canot tient bien la mer </w:t>
      </w:r>
      <w:r w:rsidRPr="009A6BD2">
        <w:rPr>
          <w:rStyle w:val="Rimandonotaapidipagina"/>
          <w:rFonts w:ascii="Times" w:hAnsi="Times New Roman" w:cs="Times"/>
        </w:rPr>
        <w:footnoteReference w:id="460"/>
      </w:r>
      <w:r w:rsidRPr="009A6BD2">
        <w:rPr>
          <w:rFonts w:ascii="Times New Roman" w:hAnsi="Times New Roman" w:cs="Times"/>
        </w:rPr>
        <w:t>, etc. Il est vrai que, si l'on prenait à la lettre certaines expressions de CODRINGTON, le mana</w:t>
      </w:r>
      <w:r w:rsidRPr="009A6BD2">
        <w:rPr>
          <w:rFonts w:ascii="Times New Roman" w:hAnsi="Times New Roman" w:cs="Times"/>
        </w:rPr>
        <w:t xml:space="preserve"> serait la cause à laquelle on rapporte spécialement « tout ce qui dépasse le pouvoir de l'homme, tout ce qui est en dehors de la marche ordinaire de la nature </w:t>
      </w:r>
      <w:r w:rsidRPr="009A6BD2">
        <w:rPr>
          <w:rStyle w:val="Rimandonotaapidipagina"/>
          <w:rFonts w:ascii="Times" w:hAnsi="Times New Roman" w:cs="Times"/>
        </w:rPr>
        <w:footnoteReference w:id="461"/>
      </w:r>
      <w:r w:rsidRPr="009A6BD2">
        <w:rPr>
          <w:rFonts w:ascii="Times New Roman" w:hAnsi="Times New Roman" w:cs="Times"/>
        </w:rPr>
        <w:t xml:space="preserve"> ». Mais des exemples mêmes qu'il cite il résulte que la sphère du mana est bien plus étendue. </w:t>
      </w:r>
      <w:r w:rsidRPr="009A6BD2">
        <w:rPr>
          <w:rFonts w:ascii="Times New Roman" w:hAnsi="Times New Roman" w:cs="Times"/>
        </w:rPr>
        <w:t>En réalité, il sert à expliquer des phénomènes usuels et courants ; il n'y arien de surhumain ni de surnaturel à ce qu'un bateau navigue, à ce qu'un chasseur prenne du gibier, etc. Seulement, parmi ces événements de la vie journalière, il en est de telleme</w:t>
      </w:r>
      <w:r w:rsidRPr="009A6BD2">
        <w:rPr>
          <w:rFonts w:ascii="Times New Roman" w:hAnsi="Times New Roman" w:cs="Times"/>
        </w:rPr>
        <w:t>nt insignifiants et de si familiers qu'ils passent inaperçus : on ne les remarque pas et, par conséquent, on n'éprou</w:t>
      </w:r>
      <w:r w:rsidRPr="009A6BD2">
        <w:rPr>
          <w:rFonts w:ascii="Times" w:hAnsi="Times New Roman" w:cs="Times"/>
        </w:rPr>
        <w:softHyphen/>
      </w:r>
      <w:r w:rsidRPr="009A6BD2">
        <w:rPr>
          <w:rFonts w:ascii="Times New Roman" w:hAnsi="Times New Roman" w:cs="Times"/>
        </w:rPr>
        <w:t xml:space="preserve">ve pas le besoin d'en rendre compte. Le concept de mana ne s'applique qu'à ceux qui ont assez d'importance pour attirer la réflexion, pour </w:t>
      </w:r>
      <w:r w:rsidRPr="009A6BD2">
        <w:rPr>
          <w:rFonts w:ascii="Times New Roman" w:hAnsi="Times New Roman" w:cs="Times"/>
        </w:rPr>
        <w:t>éveiller un minimum d'intérêt et de curiosité ; mais ils ne sont pas merveilleux pour autant. Et ce qui est vrai du mana comme de l'orenda ou du wakan peut être dit également du principe totémique. C'est par lui que se maintient la vie des gens du clan, de</w:t>
      </w:r>
      <w:r w:rsidRPr="009A6BD2">
        <w:rPr>
          <w:rFonts w:ascii="Times New Roman" w:hAnsi="Times New Roman" w:cs="Times"/>
        </w:rPr>
        <w:t>s animaux ou des plantes de l'espèce totémique, comme de toutes les choses qui sont classées sous le totem et qui participent de sa nature.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La notion de force est donc d'origine religieuse. C'est à la religion que la philosophie d'abord, les sciences ensu</w:t>
      </w:r>
      <w:r w:rsidRPr="009A6BD2">
        <w:rPr>
          <w:rFonts w:ascii="Times New Roman" w:hAnsi="Times New Roman" w:cs="Times"/>
        </w:rPr>
        <w:t>ite l'ont empruntée. C'est déjà ce qu'avait pressenti Comte et c'est pourquoi il faisait de la métaphysique l'héritière de la « théologie ». Seulement, il en con</w:t>
      </w:r>
      <w:r w:rsidRPr="009A6BD2">
        <w:rPr>
          <w:rFonts w:ascii="Times" w:hAnsi="Times New Roman" w:cs="Times"/>
        </w:rPr>
        <w:softHyphen/>
      </w:r>
      <w:r w:rsidRPr="009A6BD2">
        <w:rPr>
          <w:rFonts w:ascii="Times New Roman" w:hAnsi="Times New Roman" w:cs="Times"/>
        </w:rPr>
        <w:t>cluait que l'idée de force est destinée à disparaître de la science ; car, en raison de ses or</w:t>
      </w:r>
      <w:r w:rsidRPr="009A6BD2">
        <w:rPr>
          <w:rFonts w:ascii="Times New Roman" w:hAnsi="Times New Roman" w:cs="Times"/>
        </w:rPr>
        <w:t xml:space="preserve">igines mystiques, il lui refusait toute valeur objective. Nous allons montrer, au contraire, que les forces religieuses sont réelles, si imparfaits que puissent être les symboles à l'aide desquels elles ont été pensées. D'où il suivra qu'il en est de même </w:t>
      </w:r>
      <w:r w:rsidRPr="009A6BD2">
        <w:rPr>
          <w:rFonts w:ascii="Times New Roman" w:hAnsi="Times New Roman" w:cs="Times"/>
        </w:rPr>
        <w:t>du concept de force en général.</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36" w:name="livre_2_chap_7"/>
      <w:r w:rsidRPr="009A6BD2">
        <w:rPr>
          <w:rFonts w:ascii="Times New Roman" w:hAnsi="Times New Roman"/>
        </w:rPr>
        <w:t>CHAPITRE VII</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ORIGINES DE CES CROYANCES</w:t>
      </w:r>
    </w:p>
    <w:bookmarkEnd w:id="36"/>
    <w:p w:rsidR="009A6BD2" w:rsidRPr="009A6BD2" w:rsidRDefault="003E2D0F">
      <w:pPr>
        <w:pStyle w:val="suite"/>
        <w:rPr>
          <w:rFonts w:ascii="Times New Roman" w:hAnsi="Times New Roman"/>
        </w:rPr>
      </w:pPr>
      <w:r w:rsidRPr="009A6BD2">
        <w:rPr>
          <w:rFonts w:ascii="Times New Roman" w:hAnsi="Times New Roman"/>
        </w:rPr>
        <w:t>(Fin)</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pStyle w:val="Niveau10"/>
        <w:rPr>
          <w:rFonts w:ascii="Times New Roman" w:hAnsi="Times New Roman"/>
        </w:rPr>
      </w:pPr>
      <w:bookmarkStart w:id="37" w:name="livre_2_chap_7_genese"/>
      <w:r w:rsidRPr="009A6BD2">
        <w:rPr>
          <w:rFonts w:ascii="Times New Roman" w:hAnsi="Times New Roman"/>
        </w:rPr>
        <w:t>III. - Genèse de la notion de principe ou mana totémique</w:t>
      </w:r>
    </w:p>
    <w:bookmarkEnd w:id="37"/>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La proposition établie dans le chapitre précédent détermine les termes dans lesquels doit se poser le problèm</w:t>
      </w:r>
      <w:r w:rsidRPr="009A6BD2">
        <w:rPr>
          <w:rFonts w:ascii="Times New Roman" w:hAnsi="Times New Roman" w:cs="Times"/>
        </w:rPr>
        <w:t>e des origines du totémisme. Puisque le totémisme est dominé tout entier par la notion d'un principe quasi divin, immanent à certaines catégories d'hommes et de choses et pensé sous une forme animale ou végétale, expliquer cette religion, c'est essentiel</w:t>
      </w:r>
      <w:r w:rsidRPr="009A6BD2">
        <w:rPr>
          <w:rFonts w:ascii="Times" w:hAnsi="Times New Roman" w:cs="Times"/>
        </w:rPr>
        <w:softHyphen/>
      </w:r>
      <w:r w:rsidRPr="009A6BD2">
        <w:rPr>
          <w:rFonts w:ascii="Times New Roman" w:hAnsi="Times New Roman" w:cs="Times"/>
        </w:rPr>
        <w:t>l</w:t>
      </w:r>
      <w:r w:rsidRPr="009A6BD2">
        <w:rPr>
          <w:rFonts w:ascii="Times New Roman" w:hAnsi="Times New Roman" w:cs="Times"/>
        </w:rPr>
        <w:t>e</w:t>
      </w:r>
      <w:r w:rsidRPr="009A6BD2">
        <w:rPr>
          <w:rFonts w:ascii="Times" w:hAnsi="Times New Roman" w:cs="Times"/>
        </w:rPr>
        <w:softHyphen/>
      </w:r>
      <w:r w:rsidRPr="009A6BD2">
        <w:rPr>
          <w:rFonts w:ascii="Times New Roman" w:hAnsi="Times New Roman" w:cs="Times"/>
        </w:rPr>
        <w:t>ment expliquer cette croyance ; c'est chercher comment les hommes ont pu être déterminés à construire cette idée et avec quels matériaux ils l'ont construite.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38" w:name="livre_2_chap_7_1"/>
      <w:r w:rsidRPr="009A6BD2">
        <w:rPr>
          <w:rFonts w:ascii="Times New Roman" w:hAnsi="Times New Roman"/>
        </w:rPr>
        <w:t>I</w:t>
      </w:r>
    </w:p>
    <w:bookmarkEnd w:id="38"/>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Manifestement, ce n'est pas avec les sensations q</w:t>
      </w:r>
      <w:r w:rsidRPr="009A6BD2">
        <w:rPr>
          <w:rFonts w:ascii="Times New Roman" w:hAnsi="Times New Roman" w:cs="Times"/>
        </w:rPr>
        <w:t>ue pouvaient éveiller dans les con</w:t>
      </w:r>
      <w:r w:rsidRPr="009A6BD2">
        <w:rPr>
          <w:rFonts w:ascii="Times" w:hAnsi="Times New Roman" w:cs="Times"/>
        </w:rPr>
        <w:softHyphen/>
      </w:r>
      <w:r w:rsidRPr="009A6BD2">
        <w:rPr>
          <w:rFonts w:ascii="Times New Roman" w:hAnsi="Times New Roman" w:cs="Times"/>
        </w:rPr>
        <w:t>sciences les choses qui servaient de totems ; nous avons montré qu'elles sont souvent insigni</w:t>
      </w:r>
      <w:r w:rsidRPr="009A6BD2">
        <w:rPr>
          <w:rFonts w:ascii="Times" w:hAnsi="Times New Roman" w:cs="Times"/>
        </w:rPr>
        <w:softHyphen/>
      </w:r>
      <w:r w:rsidRPr="009A6BD2">
        <w:rPr>
          <w:rFonts w:ascii="Times New Roman" w:hAnsi="Times New Roman" w:cs="Times"/>
        </w:rPr>
        <w:t>fiantes. Le lézard, la chenille, le rat, la fourmi, la grenouille, la dinde, la brême, le prunier, le kakatoès, etc., pour ne c</w:t>
      </w:r>
      <w:r w:rsidRPr="009A6BD2">
        <w:rPr>
          <w:rFonts w:ascii="Times New Roman" w:hAnsi="Times New Roman" w:cs="Times"/>
        </w:rPr>
        <w:t>iter que des noms qui reviennent fréquemment sur les listes de totems australiens, ne sont pas de nature à produire sur l'homme de ces grandes et fortes impressions qui peuvent, sous quelque rapport, ressembler aux émotions religieuses et imprimer aux obje</w:t>
      </w:r>
      <w:r w:rsidRPr="009A6BD2">
        <w:rPr>
          <w:rFonts w:ascii="Times New Roman" w:hAnsi="Times New Roman" w:cs="Times"/>
        </w:rPr>
        <w:t>ts qui les suscitent un caractère sacré. Sans doute, il n'en est pas ainsi des astres, des grands phénomènes atmosphériques qui ont, au contraire, tout ce qu'il faut pour frapper vive</w:t>
      </w:r>
      <w:r w:rsidRPr="009A6BD2">
        <w:rPr>
          <w:rFonts w:ascii="Times" w:hAnsi="Times New Roman" w:cs="Times"/>
        </w:rPr>
        <w:softHyphen/>
      </w:r>
      <w:r w:rsidRPr="009A6BD2">
        <w:rPr>
          <w:rFonts w:ascii="Times New Roman" w:hAnsi="Times New Roman" w:cs="Times"/>
        </w:rPr>
        <w:t>ment les imaginations; mais il se trouve justement qu'ils ne servent que</w:t>
      </w:r>
      <w:r w:rsidRPr="009A6BD2">
        <w:rPr>
          <w:rFonts w:ascii="Times New Roman" w:hAnsi="Times New Roman" w:cs="Times"/>
        </w:rPr>
        <w:t xml:space="preserve"> très exception</w:t>
      </w:r>
      <w:r w:rsidRPr="009A6BD2">
        <w:rPr>
          <w:rFonts w:ascii="Times" w:hAnsi="Times New Roman" w:cs="Times"/>
        </w:rPr>
        <w:softHyphen/>
      </w:r>
      <w:r w:rsidRPr="009A6BD2">
        <w:rPr>
          <w:rFonts w:ascii="Times New Roman" w:hAnsi="Times New Roman" w:cs="Times"/>
        </w:rPr>
        <w:t>nel</w:t>
      </w:r>
      <w:r w:rsidRPr="009A6BD2">
        <w:rPr>
          <w:rFonts w:ascii="Times" w:hAnsi="Times New Roman" w:cs="Times"/>
        </w:rPr>
        <w:softHyphen/>
      </w:r>
      <w:r w:rsidRPr="009A6BD2">
        <w:rPr>
          <w:rFonts w:ascii="Times New Roman" w:hAnsi="Times New Roman" w:cs="Times"/>
        </w:rPr>
        <w:t>lement de totems ; il est même probable qu'ils n'ont été appelés à remplir cet office que tardi</w:t>
      </w:r>
      <w:r w:rsidRPr="009A6BD2">
        <w:rPr>
          <w:rFonts w:ascii="Times" w:hAnsi="Times New Roman" w:cs="Times"/>
        </w:rPr>
        <w:softHyphen/>
      </w:r>
      <w:r w:rsidRPr="009A6BD2">
        <w:rPr>
          <w:rFonts w:ascii="Times New Roman" w:hAnsi="Times New Roman" w:cs="Times"/>
        </w:rPr>
        <w:t>vement </w:t>
      </w:r>
      <w:r w:rsidRPr="009A6BD2">
        <w:rPr>
          <w:rStyle w:val="Rimandonotaapidipagina"/>
          <w:rFonts w:ascii="Times" w:hAnsi="Times New Roman" w:cs="Times"/>
        </w:rPr>
        <w:footnoteReference w:id="462"/>
      </w:r>
      <w:r w:rsidRPr="009A6BD2">
        <w:rPr>
          <w:rFonts w:ascii="Times New Roman" w:hAnsi="Times New Roman" w:cs="Times"/>
        </w:rPr>
        <w:t xml:space="preserve">. Ce n'est donc pas la nature intrinsèque de la chose dont le clan portait le nom qui la désignait pour devenir l'objet d'un culte. </w:t>
      </w:r>
      <w:r w:rsidRPr="009A6BD2">
        <w:rPr>
          <w:rFonts w:ascii="Times New Roman" w:hAnsi="Times New Roman" w:cs="Times"/>
        </w:rPr>
        <w:t xml:space="preserve">D'ailleurs, si les sentiments qu'elle inspire étaient réellement la cause déterminante des rites et des croyances totémiques, c'est elle aussi qui serait l'être sacré par excellence ; ce sont les animaux ou les plantes employés comme totems qui joueraient </w:t>
      </w:r>
      <w:r w:rsidRPr="009A6BD2">
        <w:rPr>
          <w:rFonts w:ascii="Times New Roman" w:hAnsi="Times New Roman" w:cs="Times"/>
        </w:rPr>
        <w:t>le rôle éminent dans la vie religieuse. Or nous savons que le centre du culte est ailleurs. Ce sont les représentations figuratives de cette plante ou de cet animal, ce sont les emblèmes et les symboles totémiques de toute sorte qui possèdent le maximum de</w:t>
      </w:r>
      <w:r w:rsidRPr="009A6BD2">
        <w:rPr>
          <w:rFonts w:ascii="Times New Roman" w:hAnsi="Times New Roman" w:cs="Times"/>
        </w:rPr>
        <w:t xml:space="preserve"> sainteté; c'est donc en eux que se trouve la source de la religiosité dont les objets réels que ces emblèmes représentent ne reçoivent qu'un reflet.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le totem est avant tout un symbole, une expression matérielle de quelque autre chose </w:t>
      </w:r>
      <w:r w:rsidRPr="009A6BD2">
        <w:rPr>
          <w:rStyle w:val="Rimandonotaapidipagina"/>
          <w:rFonts w:ascii="Times" w:hAnsi="Times New Roman" w:cs="Times"/>
        </w:rPr>
        <w:footnoteReference w:id="463"/>
      </w:r>
      <w:r w:rsidRPr="009A6BD2">
        <w:rPr>
          <w:rFonts w:ascii="Times New Roman" w:hAnsi="Times New Roman" w:cs="Times"/>
        </w:rPr>
        <w:t>. Mais de qu</w:t>
      </w:r>
      <w:r w:rsidRPr="009A6BD2">
        <w:rPr>
          <w:rFonts w:ascii="Times New Roman" w:hAnsi="Times New Roman" w:cs="Times"/>
        </w:rPr>
        <w:t>oi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 l'analyse même à laquelle nous avons procédé, il ressort qu'il exprime et symbolise deux sortes de choses différentes. D'une part, il est la forme extérieure et sensible de ce que nous avons appelé le principe ou le dieu totémique. Mais d'un autre</w:t>
      </w:r>
      <w:r w:rsidRPr="009A6BD2">
        <w:rPr>
          <w:rFonts w:ascii="Times New Roman" w:hAnsi="Times New Roman" w:cs="Times"/>
        </w:rPr>
        <w:t xml:space="preserve"> côté, il est aussi le symbole de cette société déterminée qu'on appelle le clan. C'en est le drapeau ; c'est le signe par lequel chaque clan se distingue des autres, la marque visible de sa personnalité, marque que porte tout ce qui fait partie du clan à </w:t>
      </w:r>
      <w:r w:rsidRPr="009A6BD2">
        <w:rPr>
          <w:rFonts w:ascii="Times New Roman" w:hAnsi="Times New Roman" w:cs="Times"/>
        </w:rPr>
        <w:t>un titre quelconque, hommes, bêtes et choses. Si donc il est, à la fois, le symbole du dieu et de la société, n'est-ce pas que le dieu et la société ne font qu'un ? Comment l'emblème du groupe aurait-il pu devenir la figure de cette quasi divinité, si le g</w:t>
      </w:r>
      <w:r w:rsidRPr="009A6BD2">
        <w:rPr>
          <w:rFonts w:ascii="Times New Roman" w:hAnsi="Times New Roman" w:cs="Times"/>
        </w:rPr>
        <w:t>roupe et la divinité étaient deux réalités distinctes ? Le dieu du clan, le principe totémique, ne peut donc être autre chose que le clan lui-même, mais hypostasié et représenté aux imaginations sous les espèces sensibles du végétal ou de l'animal qui sert</w:t>
      </w:r>
      <w:r w:rsidRPr="009A6BD2">
        <w:rPr>
          <w:rFonts w:ascii="Times New Roman" w:hAnsi="Times New Roman" w:cs="Times"/>
        </w:rPr>
        <w:t xml:space="preserve"> de totem.</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comment cette apothéose a-t-elle été possible, et d'où vient qu'elle ait eu lieu de cette façon ?</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39" w:name="livre_2_chap_7_2"/>
      <w:r w:rsidRPr="009A6BD2">
        <w:rPr>
          <w:rFonts w:ascii="Times New Roman" w:hAnsi="Times New Roman"/>
        </w:rPr>
        <w:t>II</w:t>
      </w:r>
    </w:p>
    <w:bookmarkEnd w:id="39"/>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 xml:space="preserve">D'une manière générale, il n'est pas douteux qu'une société a tout ce qu'il faut pour éveiller </w:t>
      </w:r>
      <w:r w:rsidRPr="009A6BD2">
        <w:rPr>
          <w:rFonts w:ascii="Times New Roman" w:hAnsi="Times New Roman" w:cs="Times"/>
        </w:rPr>
        <w:t>dans les esprits, par la seule action qu'elle exerce sur eux, la sensation du divin; car elle est à ses membres ce qu'un dieu est à ses fidèles. Un dieu, en effet, c'est d'abord un être que l'homme se représente, par certains côtés, comme supérieur à soi-m</w:t>
      </w:r>
      <w:r w:rsidRPr="009A6BD2">
        <w:rPr>
          <w:rFonts w:ascii="Times New Roman" w:hAnsi="Times New Roman" w:cs="Times"/>
        </w:rPr>
        <w:t>ême et dont il croit dépendre. Qu'il s'agisse d'une personnalité consciente, comme Zeus ou Jahveh, ou bien de forces abstraites comme celles qui sont en jeu dans le totémisme, le fidèle, dans un cas comme dans l'autre, se croit tenu à de certaines manières</w:t>
      </w:r>
      <w:r w:rsidRPr="009A6BD2">
        <w:rPr>
          <w:rFonts w:ascii="Times New Roman" w:hAnsi="Times New Roman" w:cs="Times"/>
        </w:rPr>
        <w:t xml:space="preserve"> d'agir qui lui sont imposées par la nature du principe sacré avec lequel il se sent en commerce. Or la société, elle aussi, entretient en nous la sensation d'une perpétuelle dépendance. Parce qu'elle a une nature qui lui est propre, différente de notre na</w:t>
      </w:r>
      <w:r w:rsidRPr="009A6BD2">
        <w:rPr>
          <w:rFonts w:ascii="Times New Roman" w:hAnsi="Times New Roman" w:cs="Times"/>
        </w:rPr>
        <w:t>ture d'individu, elle poursuit des fins qui lui sont également spéciales. mais, comme elle ne peut les atteindre que par notre intermédiaire, elle réclame impérieusement notre concours. Elle exige que, oublieux de nos intérêts, nous nous fassions ses servi</w:t>
      </w:r>
      <w:r w:rsidRPr="009A6BD2">
        <w:rPr>
          <w:rFonts w:ascii="Times New Roman" w:hAnsi="Times New Roman" w:cs="Times"/>
        </w:rPr>
        <w:t xml:space="preserve">teurs et elle nous astreint à toute sorte de gênes, de privations et de sacrifices sans lesquels la vie sociale serait impossible. C'est ainsi qu'à chaque instant nous sommes obligés de nous soumettre à des règles de conduite et de pensée que nous n'avons </w:t>
      </w:r>
      <w:r w:rsidRPr="009A6BD2">
        <w:rPr>
          <w:rFonts w:ascii="Times New Roman" w:hAnsi="Times New Roman" w:cs="Times"/>
        </w:rPr>
        <w:t>ni faites ni voulues, et qui même sont parfois contraires à nos penchants et à nos instincts les plus fondamentaux.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Toutefois, si la société n'obtenait de nous ces concessions et ces sacrifices que par une contrainte matérielle, elle ne pourrait éveiller </w:t>
      </w:r>
      <w:r w:rsidRPr="009A6BD2">
        <w:rPr>
          <w:rFonts w:ascii="Times New Roman" w:hAnsi="Times New Roman" w:cs="Times"/>
        </w:rPr>
        <w:t>en nous que l'idée d'une force physique à laquelle il nous faut céder par nécessité, non d'une puissance morale comme celles que les religions adorent. Mais en réalité, l'empire qu'elle exerce sur les consciences tient beaucoup moins à la suprématie physiq</w:t>
      </w:r>
      <w:r w:rsidRPr="009A6BD2">
        <w:rPr>
          <w:rFonts w:ascii="Times New Roman" w:hAnsi="Times New Roman" w:cs="Times"/>
        </w:rPr>
        <w:t>ue dont elle a le privilège qu'à l'autorité morale dont elle est investie. Si nous déférons à ses ordres, ce n'est pas simplement parce qu'elle est armée de manière à triompher de nos résistances ; c'est, avant tout, parce qu'elle est l'objet d'un véritabl</w:t>
      </w:r>
      <w:r w:rsidRPr="009A6BD2">
        <w:rPr>
          <w:rFonts w:ascii="Times New Roman" w:hAnsi="Times New Roman" w:cs="Times"/>
        </w:rPr>
        <w:t>e respect.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On dit d'un sujet, individuel ou collectif, qu'il inspire le respect quand la représentation qui l'exprime dans les consciences est douée d'une telle force que, automatiquement, elle suscite ou inhibe des actes, </w:t>
      </w:r>
      <w:r w:rsidRPr="009A6BD2">
        <w:rPr>
          <w:rFonts w:ascii="Times New Roman" w:hAnsi="Times New Roman" w:cs="Times"/>
          <w:i/>
          <w:iCs/>
        </w:rPr>
        <w:t>abstraction laite de toute consi</w:t>
      </w:r>
      <w:r w:rsidRPr="009A6BD2">
        <w:rPr>
          <w:rFonts w:ascii="Times New Roman" w:hAnsi="Times New Roman" w:cs="Times"/>
          <w:i/>
          <w:iCs/>
        </w:rPr>
        <w:t xml:space="preserve">dération relative aux effets utiles ou nuisibles des uns et des autres. </w:t>
      </w:r>
      <w:r w:rsidRPr="009A6BD2">
        <w:rPr>
          <w:rFonts w:ascii="Times New Roman" w:hAnsi="Times New Roman" w:cs="Times"/>
        </w:rPr>
        <w:t>Quand nous obéissons à une personne en raison de l'auto</w:t>
      </w:r>
      <w:r w:rsidRPr="009A6BD2">
        <w:rPr>
          <w:rFonts w:ascii="Times" w:hAnsi="Times New Roman" w:cs="Times"/>
        </w:rPr>
        <w:softHyphen/>
      </w:r>
      <w:r w:rsidRPr="009A6BD2">
        <w:rPr>
          <w:rFonts w:ascii="Times New Roman" w:hAnsi="Times New Roman" w:cs="Times"/>
        </w:rPr>
        <w:t xml:space="preserve">rité morale que nous lui reconnaissons, nous suivons ses avis, non parce qu'ils nous semblent sages, mais parce qu'à l'idée que </w:t>
      </w:r>
      <w:r w:rsidRPr="009A6BD2">
        <w:rPr>
          <w:rFonts w:ascii="Times New Roman" w:hAnsi="Times New Roman" w:cs="Times"/>
        </w:rPr>
        <w:t>nous nous faisons de cette personne une énergie psychique d'un certain genre est immanente, qui fait plier notre volonté et l'incline dans le sens indiqué. Le respect est l'émotion que nous éprouvons quand nous sentons cette pression intérieure et toute sp</w:t>
      </w:r>
      <w:r w:rsidRPr="009A6BD2">
        <w:rPr>
          <w:rFonts w:ascii="Times New Roman" w:hAnsi="Times New Roman" w:cs="Times"/>
        </w:rPr>
        <w:t>irituelle se produire en nous. Ce qui nous détermine alors, ce ne sont pas les avantages ou les inconvénients de l'attitude qui nous est prescrite ou recommandée ; c'est la façon dont nous nous représentons celui qui nous la recommande ou qui nous la presc</w:t>
      </w:r>
      <w:r w:rsidRPr="009A6BD2">
        <w:rPr>
          <w:rFonts w:ascii="Times New Roman" w:hAnsi="Times New Roman" w:cs="Times"/>
        </w:rPr>
        <w:t>rit. Voilà pourquoi le commandement affecte généralement des formes brèves, tranchantes, qui ne laissent pas de place à l'hésitation ; c'est que, dans la mesure où il est lui-même et agit par ses seules forces, il exclut toute idée de délibération et de ca</w:t>
      </w:r>
      <w:r w:rsidRPr="009A6BD2">
        <w:rPr>
          <w:rFonts w:ascii="Times New Roman" w:hAnsi="Times New Roman" w:cs="Times"/>
        </w:rPr>
        <w:t>lcul ; il tient son efficacité de l'intensité de l'état mental dans lequel il est donné. C'est cette intensité qui constitue ce qu'on appelle l'ascendant moral.</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Or, les manières d'agir auxquelles la société est assez fortement attachée pour les imposer à </w:t>
      </w:r>
      <w:r w:rsidRPr="009A6BD2">
        <w:rPr>
          <w:rFonts w:ascii="Times New Roman" w:hAnsi="Times New Roman" w:cs="Times"/>
        </w:rPr>
        <w:t>ses membres se trouvent, par cela même, marquées du signe distinctif qui provoque le respect. Parce qu'elles sont élaborées en commun, la vivacité avec laquelle elles sont pensées par chaque esprit particulier retentit dans tous les autres et réciproquemen</w:t>
      </w:r>
      <w:r w:rsidRPr="009A6BD2">
        <w:rPr>
          <w:rFonts w:ascii="Times New Roman" w:hAnsi="Times New Roman" w:cs="Times"/>
        </w:rPr>
        <w:t>t. Les représenta</w:t>
      </w:r>
      <w:r w:rsidRPr="009A6BD2">
        <w:rPr>
          <w:rFonts w:ascii="Times" w:hAnsi="Times New Roman" w:cs="Times"/>
        </w:rPr>
        <w:softHyphen/>
      </w:r>
      <w:r w:rsidRPr="009A6BD2">
        <w:rPr>
          <w:rFonts w:ascii="Times New Roman" w:hAnsi="Times New Roman" w:cs="Times"/>
        </w:rPr>
        <w:t>tions qui les expriment en chacun de nous ont donc une intensité à laquelle des états de conscience purement privés ne sauraient atteindre : car elles sont fortes des innombrables représentations individuelles qui ont servi à former chacu</w:t>
      </w:r>
      <w:r w:rsidRPr="009A6BD2">
        <w:rPr>
          <w:rFonts w:ascii="Times New Roman" w:hAnsi="Times New Roman" w:cs="Times"/>
        </w:rPr>
        <w:t>ne d'elles. C'est la société qui parle par la bouche de ceux qui les affirment en notre présence : c'est elle que nous entendons en les entendant et la voix de tous a un accent que ne saurait avoir celle d'un seul </w:t>
      </w:r>
      <w:r w:rsidRPr="009A6BD2">
        <w:rPr>
          <w:rStyle w:val="Rimandonotaapidipagina"/>
          <w:rFonts w:ascii="Times" w:hAnsi="Times New Roman" w:cs="Times"/>
        </w:rPr>
        <w:footnoteReference w:id="464"/>
      </w:r>
      <w:r w:rsidRPr="009A6BD2">
        <w:rPr>
          <w:rFonts w:ascii="Times New Roman" w:hAnsi="Times New Roman" w:cs="Times"/>
        </w:rPr>
        <w:t>. La violence même avec laquelle la socié</w:t>
      </w:r>
      <w:r w:rsidRPr="009A6BD2">
        <w:rPr>
          <w:rFonts w:ascii="Times New Roman" w:hAnsi="Times New Roman" w:cs="Times"/>
        </w:rPr>
        <w:t>té réagit, par voie de blâme ou bien de répression maté</w:t>
      </w:r>
      <w:r w:rsidRPr="009A6BD2">
        <w:rPr>
          <w:rFonts w:ascii="Times" w:hAnsi="Times New Roman" w:cs="Times"/>
        </w:rPr>
        <w:softHyphen/>
      </w:r>
      <w:r w:rsidRPr="009A6BD2">
        <w:rPr>
          <w:rFonts w:ascii="Times New Roman" w:hAnsi="Times New Roman" w:cs="Times"/>
        </w:rPr>
        <w:t>rielle, contre les tentatives de dissidence, en manifestant avec l'éclat l'ardeur de la conviction commune, contribue à en renforcer l'empire </w:t>
      </w:r>
      <w:r w:rsidRPr="009A6BD2">
        <w:rPr>
          <w:rStyle w:val="Rimandonotaapidipagina"/>
          <w:rFonts w:ascii="Times" w:hAnsi="Times New Roman" w:cs="Times"/>
        </w:rPr>
        <w:footnoteReference w:id="465"/>
      </w:r>
      <w:r w:rsidRPr="009A6BD2">
        <w:rPr>
          <w:rFonts w:ascii="Times New Roman" w:hAnsi="Times New Roman" w:cs="Times"/>
        </w:rPr>
        <w:t>. En un mot, quand une chose est l'objet d'un état de l'o</w:t>
      </w:r>
      <w:r w:rsidRPr="009A6BD2">
        <w:rPr>
          <w:rFonts w:ascii="Times New Roman" w:hAnsi="Times New Roman" w:cs="Times"/>
        </w:rPr>
        <w:t>pinion, la représentation qu'en a chaque individu tient de ses origines, des condi</w:t>
      </w:r>
      <w:r w:rsidRPr="009A6BD2">
        <w:rPr>
          <w:rFonts w:ascii="Times" w:hAnsi="Times New Roman" w:cs="Times"/>
        </w:rPr>
        <w:softHyphen/>
      </w:r>
      <w:r w:rsidRPr="009A6BD2">
        <w:rPr>
          <w:rFonts w:ascii="Times New Roman" w:hAnsi="Times New Roman" w:cs="Times"/>
        </w:rPr>
        <w:t>tions dans lesquelles elle a pris naissance, une puissance d'action que sentent ceux-là mêmes qui ne s'y soumettent pas. Elle tend à refouler les représentations qui la cont</w:t>
      </w:r>
      <w:r w:rsidRPr="009A6BD2">
        <w:rPr>
          <w:rFonts w:ascii="Times New Roman" w:hAnsi="Times New Roman" w:cs="Times"/>
        </w:rPr>
        <w:t>redisent, elle les tient à distance ; elle commande, au contraire, des actes qui la réalisent, et cela, non par une coercition matérielle ou par la perspective d'une coercition de ce genre, mais par le simple rayonnement de l'énergie mentale qui est en ell</w:t>
      </w:r>
      <w:r w:rsidRPr="009A6BD2">
        <w:rPr>
          <w:rFonts w:ascii="Times New Roman" w:hAnsi="Times New Roman" w:cs="Times"/>
        </w:rPr>
        <w:t>e.</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Elle a une efficacité qui lui vient uniquement de ses propriétés psychiques, et c'est précisément à ce signe que se reconnaît l'autorité morale. L'opinion, chose sociale au premier chef, est donc une source d'autorité et l'on peut même se demander si t</w:t>
      </w:r>
      <w:r w:rsidRPr="009A6BD2">
        <w:rPr>
          <w:rFonts w:ascii="Times New Roman" w:hAnsi="Times New Roman" w:cs="Times"/>
        </w:rPr>
        <w:t>oute autorité n'est pas fille de l'opinion </w:t>
      </w:r>
      <w:r w:rsidRPr="009A6BD2">
        <w:rPr>
          <w:rStyle w:val="Rimandonotaapidipagina"/>
          <w:rFonts w:ascii="Times" w:hAnsi="Times New Roman" w:cs="Times"/>
        </w:rPr>
        <w:footnoteReference w:id="466"/>
      </w:r>
      <w:r w:rsidRPr="009A6BD2">
        <w:rPr>
          <w:rFonts w:ascii="Times New Roman" w:hAnsi="Times New Roman" w:cs="Times"/>
        </w:rPr>
        <w:t>. On objectera que la science est souvent l'antagoniste de l'opinion dont elle combat et rectifie les erreurs, Mais elle ne peut réussir dans cette tâche que si elle a une suffisante autorité et elle ne peut teni</w:t>
      </w:r>
      <w:r w:rsidRPr="009A6BD2">
        <w:rPr>
          <w:rFonts w:ascii="Times New Roman" w:hAnsi="Times New Roman" w:cs="Times"/>
        </w:rPr>
        <w:t>r cette autorité que de l'opinion elle-même. Qu'un peuple n'ait pas foi dans la science, et toutes les démonstrations scientifiques seront sans influence sur les esprits. Même aujourd'hui, qu'il arrive à la science de résister à un courant très fort de l'o</w:t>
      </w:r>
      <w:r w:rsidRPr="009A6BD2">
        <w:rPr>
          <w:rFonts w:ascii="Times New Roman" w:hAnsi="Times New Roman" w:cs="Times"/>
        </w:rPr>
        <w:t>pinion publique, et elle risquera d'y laisser son crédit </w:t>
      </w:r>
      <w:r w:rsidRPr="009A6BD2">
        <w:rPr>
          <w:rStyle w:val="Rimandonotaapidipagina"/>
          <w:rFonts w:ascii="Times" w:hAnsi="Times New Roman" w:cs="Times"/>
        </w:rPr>
        <w:footnoteReference w:id="46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Puisque c'est par des voies mentales que la pression sociale s'exerce, elle ne pouvait manquer de donner à l'homme l'idée qu'il existe en dehors de lui une ou plusieurs puissances, morales en mêm</w:t>
      </w:r>
      <w:r w:rsidRPr="009A6BD2">
        <w:rPr>
          <w:rFonts w:ascii="Times New Roman" w:hAnsi="Times New Roman" w:cs="Times"/>
        </w:rPr>
        <w:t>e temps qu'efficaces, dont il dépend. Ces puissances, il devait se les repré</w:t>
      </w:r>
      <w:r w:rsidRPr="009A6BD2">
        <w:rPr>
          <w:rFonts w:ascii="Times" w:hAnsi="Times New Roman" w:cs="Times"/>
        </w:rPr>
        <w:softHyphen/>
      </w:r>
      <w:r w:rsidRPr="009A6BD2">
        <w:rPr>
          <w:rFonts w:ascii="Times New Roman" w:hAnsi="Times New Roman" w:cs="Times"/>
        </w:rPr>
        <w:t>senter, en partie, comme extérieures à lui, puisqu'elles lui parlent sur le ton du commande</w:t>
      </w:r>
      <w:r w:rsidRPr="009A6BD2">
        <w:rPr>
          <w:rFonts w:ascii="Times" w:hAnsi="Times New Roman" w:cs="Times"/>
        </w:rPr>
        <w:softHyphen/>
      </w:r>
      <w:r w:rsidRPr="009A6BD2">
        <w:rPr>
          <w:rFonts w:ascii="Times New Roman" w:hAnsi="Times New Roman" w:cs="Times"/>
        </w:rPr>
        <w:t>ment et que même elles lui enjoignent parfois de faire violence à ses penchants les plu</w:t>
      </w:r>
      <w:r w:rsidRPr="009A6BD2">
        <w:rPr>
          <w:rFonts w:ascii="Times New Roman" w:hAnsi="Times New Roman" w:cs="Times"/>
        </w:rPr>
        <w:t>s naturels. Sans doute, s'il pouvait voir immédiatement que ces influences qu'il subit émanent de la société, le système des interprétations mythologiques ne serait pas né. Mais l'action sociale suit des voies trop détournées et trop obscures, elle emploie</w:t>
      </w:r>
      <w:r w:rsidRPr="009A6BD2">
        <w:rPr>
          <w:rFonts w:ascii="Times New Roman" w:hAnsi="Times New Roman" w:cs="Times"/>
        </w:rPr>
        <w:t xml:space="preserve"> des mécanismes psychiques trop complexes pour qu'il soit possible à l'observateur vulgaire d'apercevoir d'où elle vient. Tant que l'analyse scientifique n'est pas venue le lui apprendre, il sent bien qu'il est agi, mais non par qui il est agi. Il dut donc</w:t>
      </w:r>
      <w:r w:rsidRPr="009A6BD2">
        <w:rPr>
          <w:rFonts w:ascii="Times New Roman" w:hAnsi="Times New Roman" w:cs="Times"/>
        </w:rPr>
        <w:t xml:space="preserve"> construire de toutes pièces la notion de ces puissances avec lesquelles il se sentait en rapports, et, par là, on peut entrevoir déjà comment il fut amené à se les représenter sous des formes qui leur sont étrangères et à les transfigurer par la pensée.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un dieu, ce n'est pas seulement une autorité dont nous dépendons ; c'est aussi une force sur laquelle s'appuie notre force. L'homme qui a obéi à son dieu et qui, pour cette raison, croit l'avoir avec soi, aborde le monde avec confiance et avec le sent</w:t>
      </w:r>
      <w:r w:rsidRPr="009A6BD2">
        <w:rPr>
          <w:rFonts w:ascii="Times New Roman" w:hAnsi="Times New Roman" w:cs="Times"/>
        </w:rPr>
        <w:t>iment d'une énergie accrue. - De même, l'action sociale ne se borne pas à réclamer de nous des sacrifices, des privations et des efforts. Car la force collective ne nous est pas tout entière extérieure ; elle ne nous meut pas toute du dehors ; mais, puisqu</w:t>
      </w:r>
      <w:r w:rsidRPr="009A6BD2">
        <w:rPr>
          <w:rFonts w:ascii="Times New Roman" w:hAnsi="Times New Roman" w:cs="Times"/>
        </w:rPr>
        <w:t>e la société ne peut exister que dans les consciences individuelles et par elles </w:t>
      </w:r>
      <w:r w:rsidRPr="009A6BD2">
        <w:rPr>
          <w:rStyle w:val="Rimandonotaapidipagina"/>
          <w:rFonts w:ascii="Times" w:hAnsi="Times New Roman" w:cs="Times"/>
        </w:rPr>
        <w:footnoteReference w:id="468"/>
      </w:r>
      <w:r w:rsidRPr="009A6BD2">
        <w:rPr>
          <w:rFonts w:ascii="Times New Roman" w:hAnsi="Times New Roman" w:cs="Times"/>
        </w:rPr>
        <w:t>, il faut bien qu'elle pénètre et s'organise en nous ; elle devient ainsi partie intégrante de notre être et, par cela même, elle l'élève et le grandit.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des circonsta</w:t>
      </w:r>
      <w:r w:rsidRPr="009A6BD2">
        <w:rPr>
          <w:rFonts w:ascii="Times New Roman" w:hAnsi="Times New Roman" w:cs="Times"/>
        </w:rPr>
        <w:t>nces où cette action réconfortante et vivifiante de la société est particulièrement manifeste. Au sein d'une assemblée qu'échauffe une passion commune, nous devenons susceptibles de sentiments et d'actes dont nous sommes incapables quand nous sommes réduit</w:t>
      </w:r>
      <w:r w:rsidRPr="009A6BD2">
        <w:rPr>
          <w:rFonts w:ascii="Times New Roman" w:hAnsi="Times New Roman" w:cs="Times"/>
        </w:rPr>
        <w:t>s à nos seules forces ; et quand l'assemblée est dissoute, quand, nous retrou</w:t>
      </w:r>
      <w:r w:rsidRPr="009A6BD2">
        <w:rPr>
          <w:rFonts w:ascii="Times" w:hAnsi="Times New Roman" w:cs="Times"/>
        </w:rPr>
        <w:softHyphen/>
      </w:r>
      <w:r w:rsidRPr="009A6BD2">
        <w:rPr>
          <w:rFonts w:ascii="Times New Roman" w:hAnsi="Times New Roman" w:cs="Times"/>
        </w:rPr>
        <w:t>vant seul avec nous-même, nous retombons à notre niveau ordinaire, nous pouvons mesurer alors toute la hauteur dont nous avions été soulevé au-dessus de nous-même. L'histoire abo</w:t>
      </w:r>
      <w:r w:rsidRPr="009A6BD2">
        <w:rPr>
          <w:rFonts w:ascii="Times New Roman" w:hAnsi="Times New Roman" w:cs="Times"/>
        </w:rPr>
        <w:t>nde en exemples de ce genre. Il suffit de penser à la nuit du 4 août, où une assemblée fut tout à coup portée à un acte de sacrifice et d'abnégation auquel chacun de ses membres se refusait la veille et dont tous furent surpris le lendemain </w:t>
      </w:r>
      <w:r w:rsidRPr="009A6BD2">
        <w:rPr>
          <w:rStyle w:val="Rimandonotaapidipagina"/>
          <w:rFonts w:ascii="Times" w:hAnsi="Times New Roman" w:cs="Times"/>
        </w:rPr>
        <w:footnoteReference w:id="469"/>
      </w:r>
      <w:r w:rsidRPr="009A6BD2">
        <w:rPr>
          <w:rFonts w:ascii="Times New Roman" w:hAnsi="Times New Roman" w:cs="Times"/>
        </w:rPr>
        <w:t>. C'est pour c</w:t>
      </w:r>
      <w:r w:rsidRPr="009A6BD2">
        <w:rPr>
          <w:rFonts w:ascii="Times New Roman" w:hAnsi="Times New Roman" w:cs="Times"/>
        </w:rPr>
        <w:t>ette raison que tous les partis, politiques, économiques, confessionnels, prennent soin de provoquer périodiquement des réunions où leurs adeptes puissent revivifier leur foi commune en la manifestant en commun. Pour raffermir des sentiments qui, abandonné</w:t>
      </w:r>
      <w:r w:rsidRPr="009A6BD2">
        <w:rPr>
          <w:rFonts w:ascii="Times New Roman" w:hAnsi="Times New Roman" w:cs="Times"/>
        </w:rPr>
        <w:t>s à eux-mêmes, s'étioleraient, il suffit de rapprocher et de mettre en relations plus étroites et plus actives ceux qui les éprouvent. Voilà aussi ce qui explique l'attitude si particulière de l'homme qui parle à une foule, si, du moins, il est parvenu à e</w:t>
      </w:r>
      <w:r w:rsidRPr="009A6BD2">
        <w:rPr>
          <w:rFonts w:ascii="Times New Roman" w:hAnsi="Times New Roman" w:cs="Times"/>
        </w:rPr>
        <w:t>ntrer en communion avec elle. Son langage a une sorte de grandiloquence qui serait ridicule dans les circonstances ordinaires; ses gestes ont quelque chose de dominateur; sa pensée même est impatiente de la mesure et se laisse facilement aller à toute sort</w:t>
      </w:r>
      <w:r w:rsidRPr="009A6BD2">
        <w:rPr>
          <w:rFonts w:ascii="Times New Roman" w:hAnsi="Times New Roman" w:cs="Times"/>
        </w:rPr>
        <w:t>e d'outrances. C'est qu'il sent en lui comme une pléthore anormale de forces qui le débordent et qui tendent à se répandre hors de lui; il a même parfois l'impression qu'il est dominé par une puissance morale qui le dépasse et dont il n'est que l'interprèt</w:t>
      </w:r>
      <w:r w:rsidRPr="009A6BD2">
        <w:rPr>
          <w:rFonts w:ascii="Times New Roman" w:hAnsi="Times New Roman" w:cs="Times"/>
        </w:rPr>
        <w:t>e. C'est à ce trait que se reconnaît ce qu'on a souvent appelé le démon de l'inspiration oratoire. Or, ce surcroît exceptionnel de forces est bien réel: il lui vient du groupe même auquel il s'adresse. Les sentiments qu'il provoque par sa parole reviennent</w:t>
      </w:r>
      <w:r w:rsidRPr="009A6BD2">
        <w:rPr>
          <w:rFonts w:ascii="Times New Roman" w:hAnsi="Times New Roman" w:cs="Times"/>
        </w:rPr>
        <w:t xml:space="preserve"> vers lui, mais grossis, amplifiés, et ils renforcent d'autant son sentiment propre. Les énergies passionnelles qu'il soulève retentissent en lui et relèvent son ton vital. Ce n'est plus un simple individu qui parle, c'est un groupe incarné et personnifié.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dehors de ces états passagers ou intermittents, il en est de plus durables oh cette influence roburative de la société se fait sentir avec plus de suite et souvent même avec plus d'éclat. Il y a des périodes historiques oh, sous l'influence de quelque</w:t>
      </w:r>
      <w:r w:rsidRPr="009A6BD2">
        <w:rPr>
          <w:rFonts w:ascii="Times New Roman" w:hAnsi="Times New Roman" w:cs="Times"/>
        </w:rPr>
        <w:t xml:space="preserve"> grand ébranlement collectif, les inter-actions sociales deviennent beaucoup plus fréquentes et plus actives. Les individus se recherchent, s'assemblent davantage. Il en résulte une effervescence générale, caractéristique des époques révolutionnaires ou cr</w:t>
      </w:r>
      <w:r w:rsidRPr="009A6BD2">
        <w:rPr>
          <w:rFonts w:ascii="Times New Roman" w:hAnsi="Times New Roman" w:cs="Times"/>
        </w:rPr>
        <w:t>éatrices. Or, cette suractivité a pour effet une stimulation générale des forces individuelles. On vit plus et autrement qu'en temps normal. Les changement ne sont pas seulement de nuances et de degrés ; l'homme devient autre. Les passions qui l'agitent so</w:t>
      </w:r>
      <w:r w:rsidRPr="009A6BD2">
        <w:rPr>
          <w:rFonts w:ascii="Times New Roman" w:hAnsi="Times New Roman" w:cs="Times"/>
        </w:rPr>
        <w:t>nt d'une telle intensité qu'elles ne peuvent se satisfaire que par des actes violents, démesurés : actes d'héroïsme surhumain ou de barbarie sanguinaire. C'est là ce qui explique, par exemple, les croisades </w:t>
      </w:r>
      <w:r w:rsidRPr="009A6BD2">
        <w:rPr>
          <w:rStyle w:val="Rimandonotaapidipagina"/>
          <w:rFonts w:ascii="Times" w:hAnsi="Times New Roman" w:cs="Times"/>
        </w:rPr>
        <w:footnoteReference w:id="470"/>
      </w:r>
      <w:r w:rsidRPr="009A6BD2">
        <w:rPr>
          <w:rFonts w:ascii="Times New Roman" w:hAnsi="Times New Roman" w:cs="Times"/>
        </w:rPr>
        <w:t xml:space="preserve"> et tant de scènes, ou sublimes ou sauvages, de </w:t>
      </w:r>
      <w:r w:rsidRPr="009A6BD2">
        <w:rPr>
          <w:rFonts w:ascii="Times New Roman" w:hAnsi="Times New Roman" w:cs="Times"/>
        </w:rPr>
        <w:t>la Révolution française </w:t>
      </w:r>
      <w:r w:rsidRPr="009A6BD2">
        <w:rPr>
          <w:rStyle w:val="Rimandonotaapidipagina"/>
          <w:rFonts w:ascii="Times" w:hAnsi="Times New Roman" w:cs="Times"/>
        </w:rPr>
        <w:footnoteReference w:id="471"/>
      </w:r>
      <w:r w:rsidRPr="009A6BD2">
        <w:rPr>
          <w:rFonts w:ascii="Times New Roman" w:hAnsi="Times New Roman" w:cs="Times"/>
        </w:rPr>
        <w:t>. Sous l'influence de l'exaltation générale, on voit le bour</w:t>
      </w:r>
      <w:r w:rsidRPr="009A6BD2">
        <w:rPr>
          <w:rFonts w:ascii="Times" w:hAnsi="Times New Roman" w:cs="Times"/>
        </w:rPr>
        <w:softHyphen/>
      </w:r>
      <w:r w:rsidRPr="009A6BD2">
        <w:rPr>
          <w:rFonts w:ascii="Times New Roman" w:hAnsi="Times New Roman" w:cs="Times"/>
        </w:rPr>
        <w:t>geois le plus médiocre ou le plus inoffensif se transformer soit en héros soit en bourreau </w:t>
      </w:r>
      <w:r w:rsidRPr="009A6BD2">
        <w:rPr>
          <w:rStyle w:val="Rimandonotaapidipagina"/>
          <w:rFonts w:ascii="Times" w:hAnsi="Times New Roman" w:cs="Times"/>
        </w:rPr>
        <w:footnoteReference w:id="472"/>
      </w:r>
      <w:r w:rsidRPr="009A6BD2">
        <w:rPr>
          <w:rFonts w:ascii="Times New Roman" w:hAnsi="Times New Roman" w:cs="Times"/>
        </w:rPr>
        <w:t>. Et tous ces processus mentaux sont si bien de ceux qui sont à la racine de l</w:t>
      </w:r>
      <w:r w:rsidRPr="009A6BD2">
        <w:rPr>
          <w:rFonts w:ascii="Times New Roman" w:hAnsi="Times New Roman" w:cs="Times"/>
        </w:rPr>
        <w:t>a reli</w:t>
      </w:r>
      <w:r w:rsidRPr="009A6BD2">
        <w:rPr>
          <w:rFonts w:ascii="Times" w:hAnsi="Times New Roman" w:cs="Times"/>
        </w:rPr>
        <w:softHyphen/>
      </w:r>
      <w:r w:rsidRPr="009A6BD2">
        <w:rPr>
          <w:rFonts w:ascii="Times New Roman" w:hAnsi="Times New Roman" w:cs="Times"/>
        </w:rPr>
        <w:t>gion que les individus eux-mêmes se sont souvent représenté, sous une forme expressément religieuse, la pression à laquelle ils cédaient ainsi. Les croisés croyaient sentir Dieu présent au milieu d'eux et leur enjoignant de partir à la conquête de l</w:t>
      </w:r>
      <w:r w:rsidRPr="009A6BD2">
        <w:rPr>
          <w:rFonts w:ascii="Times New Roman" w:hAnsi="Times New Roman" w:cs="Times"/>
        </w:rPr>
        <w:t>a Terre Sainte ; Jeanne d'Arc croyait obéir à des voix célestes </w:t>
      </w:r>
      <w:r w:rsidRPr="009A6BD2">
        <w:rPr>
          <w:rStyle w:val="Rimandonotaapidipagina"/>
          <w:rFonts w:ascii="Times" w:hAnsi="Times New Roman" w:cs="Times"/>
        </w:rPr>
        <w:footnoteReference w:id="47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 n'est pas seulement dans ces circonstances exceptionnelles que cette action stimulante de la société se fait sentir; il n'est, pour ainsi dire, pas un instant de notre vie où quelq</w:t>
      </w:r>
      <w:r w:rsidRPr="009A6BD2">
        <w:rPr>
          <w:rFonts w:ascii="Times New Roman" w:hAnsi="Times New Roman" w:cs="Times"/>
        </w:rPr>
        <w:t>ue afflux d'énergie ne nous vienne du dehors. L'homme qui fait son devoir trouve, dans les manifestations de toute sorte par lesquelles s'expriment la sympathie, l'estime, l'affection que ses semblables ont pour lui, une impression de réconfort, dont il ne</w:t>
      </w:r>
      <w:r w:rsidRPr="009A6BD2">
        <w:rPr>
          <w:rFonts w:ascii="Times New Roman" w:hAnsi="Times New Roman" w:cs="Times"/>
        </w:rPr>
        <w:t xml:space="preserve"> se rend pas compte le plus souvent, mais qui le soutient. Le sentiment que la société a de lui, rehausse le sentiment qu'il a de lui-même. Parce qu'il est en harmonie morale avec ses contemporains, il a plus de confiance, de courage, de hardiesse dans l'a</w:t>
      </w:r>
      <w:r w:rsidRPr="009A6BD2">
        <w:rPr>
          <w:rFonts w:ascii="Times New Roman" w:hAnsi="Times New Roman" w:cs="Times"/>
        </w:rPr>
        <w:t>ction, tout comme le fidèle qui croit sentir les regards de son dieu tournés bienveillamment vers lui. Il se produit ainsi comme une susten</w:t>
      </w:r>
      <w:r w:rsidRPr="009A6BD2">
        <w:rPr>
          <w:rFonts w:ascii="Times" w:hAnsi="Times New Roman" w:cs="Times"/>
        </w:rPr>
        <w:softHyphen/>
      </w:r>
      <w:r w:rsidRPr="009A6BD2">
        <w:rPr>
          <w:rFonts w:ascii="Times New Roman" w:hAnsi="Times New Roman" w:cs="Times"/>
        </w:rPr>
        <w:t>tation perpétuelle de notre être moral. Comme elle varie suivant une multitude de circonstan</w:t>
      </w:r>
      <w:r w:rsidRPr="009A6BD2">
        <w:rPr>
          <w:rFonts w:ascii="Times" w:hAnsi="Times New Roman" w:cs="Times"/>
        </w:rPr>
        <w:softHyphen/>
      </w:r>
      <w:r w:rsidRPr="009A6BD2">
        <w:rPr>
          <w:rFonts w:ascii="Times New Roman" w:hAnsi="Times New Roman" w:cs="Times"/>
        </w:rPr>
        <w:t>ces extérieures, suivan</w:t>
      </w:r>
      <w:r w:rsidRPr="009A6BD2">
        <w:rPr>
          <w:rFonts w:ascii="Times New Roman" w:hAnsi="Times New Roman" w:cs="Times"/>
        </w:rPr>
        <w:t>t que nos rapports avec les groupes sociaux qui nous entourent sont plus ou moins actifs, suivant ce que sont ces groupes, nous ne pouvons pas ne pas sentir que ce tonus moral dépend d'une cause externe ; mais nous n'apercevons pas où est cette cause ni ce</w:t>
      </w:r>
      <w:r w:rsidRPr="009A6BD2">
        <w:rPr>
          <w:rFonts w:ascii="Times New Roman" w:hAnsi="Times New Roman" w:cs="Times"/>
        </w:rPr>
        <w:t xml:space="preserve"> qu'elle est, Aussi la concevons-nous couramment sous la forme d'une puissance morale qui, tout en nous étant immanente, représente en nous autre chose que nous-même : c'est la conscience morale dont, d'ailleurs, le commun des hommes ne s'est jamais fait u</w:t>
      </w:r>
      <w:r w:rsidRPr="009A6BD2">
        <w:rPr>
          <w:rFonts w:ascii="Times New Roman" w:hAnsi="Times New Roman" w:cs="Times"/>
        </w:rPr>
        <w:t>ne représentation un peu distincte qu'à l'aide de symboles religieux.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Outre ces forces à l'état libre qui viennent sans cesse renouveler les nôtres, il y a celles qui sont fixées dans les techniques et traditions de toute sorte que nous utilisons. Nous pa</w:t>
      </w:r>
      <w:r w:rsidRPr="009A6BD2">
        <w:rPr>
          <w:rFonts w:ascii="Times New Roman" w:hAnsi="Times New Roman" w:cs="Times"/>
        </w:rPr>
        <w:t>rlons une langue que nous n'avons pas faite; nous nous servons d'instruments que nous n'avons pas inventés nous invoquons des droits que nous n'avons pas institués un trésor de connaissances est transmis à chaque génération qu'elle n'a pas elle-même amassé</w:t>
      </w:r>
      <w:r w:rsidRPr="009A6BD2">
        <w:rPr>
          <w:rFonts w:ascii="Times New Roman" w:hAnsi="Times New Roman" w:cs="Times"/>
        </w:rPr>
        <w:t>, etc. C'est à la société que nous devons ces biens variés de la civilisation et si nous ne voyons générale</w:t>
      </w:r>
      <w:r w:rsidRPr="009A6BD2">
        <w:rPr>
          <w:rFonts w:ascii="Times" w:hAnsi="Times New Roman" w:cs="Times"/>
        </w:rPr>
        <w:softHyphen/>
      </w:r>
      <w:r w:rsidRPr="009A6BD2">
        <w:rPr>
          <w:rFonts w:ascii="Times New Roman" w:hAnsi="Times New Roman" w:cs="Times"/>
        </w:rPr>
        <w:t xml:space="preserve">ment pas de quelle source nous les tenons, nous savons, du moins, qu'ils ne sont pas notre oeuvre. Or ce sont eux qui font à l'homme sa physionomie </w:t>
      </w:r>
      <w:r w:rsidRPr="009A6BD2">
        <w:rPr>
          <w:rFonts w:ascii="Times New Roman" w:hAnsi="Times New Roman" w:cs="Times"/>
        </w:rPr>
        <w:t>personnelle entre tous les êtres ; car l'homme n'est un homme que parce qu'il est civilisé. Il ne pouvait donc échapper à ce sentiment qu'il existe en dehors de lui des causes agissantes d'où lui viennent les attributs caractéristiques de sa nature, et com</w:t>
      </w:r>
      <w:r w:rsidRPr="009A6BD2">
        <w:rPr>
          <w:rFonts w:ascii="Times New Roman" w:hAnsi="Times New Roman" w:cs="Times"/>
        </w:rPr>
        <w:t>me des puissances bienveillantes qui l'assistent, qui le protègent et qui lui assurent un sort privilégié. Et à ces puissances il devait nécessairement assigner une dignité qui fût en rapport avec la haute valeur des biens qu'il leur attribuait </w:t>
      </w:r>
      <w:r w:rsidRPr="009A6BD2">
        <w:rPr>
          <w:rStyle w:val="Rimandonotaapidipagina"/>
          <w:rFonts w:ascii="Times" w:hAnsi="Times New Roman" w:cs="Times"/>
        </w:rPr>
        <w:footnoteReference w:id="47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Ainsi, </w:t>
      </w:r>
      <w:r w:rsidRPr="009A6BD2">
        <w:rPr>
          <w:rFonts w:ascii="Times New Roman" w:hAnsi="Times New Roman" w:cs="Times"/>
        </w:rPr>
        <w:t>le milieu dans lequel nous vivons nous apparaît comme peuplé de forces à la fois impérieuses et secourables, augustes et bienfaisantes, avec lesquelles nous sommes en rapports. Puisqu'elles exercent sur nous une pression dont nous avons conscience, nous so</w:t>
      </w:r>
      <w:r w:rsidRPr="009A6BD2">
        <w:rPr>
          <w:rFonts w:ascii="Times New Roman" w:hAnsi="Times New Roman" w:cs="Times"/>
        </w:rPr>
        <w:t>mmes nécessités à les localiser hors de nous, comme nous faisons pour les causes objecti</w:t>
      </w:r>
      <w:r w:rsidRPr="009A6BD2">
        <w:rPr>
          <w:rFonts w:ascii="Times" w:hAnsi="Times New Roman" w:cs="Times"/>
        </w:rPr>
        <w:softHyphen/>
      </w:r>
      <w:r w:rsidRPr="009A6BD2">
        <w:rPr>
          <w:rFonts w:ascii="Times New Roman" w:hAnsi="Times New Roman" w:cs="Times"/>
        </w:rPr>
        <w:t>ves de nos sensations. Mais d'un autre côté, les sentiments qu'elles nous inspirent diffèrent en nature de ceux que nous avons pour de simples choses sensibles. Tant q</w:t>
      </w:r>
      <w:r w:rsidRPr="009A6BD2">
        <w:rPr>
          <w:rFonts w:ascii="Times New Roman" w:hAnsi="Times New Roman" w:cs="Times"/>
        </w:rPr>
        <w:t>ue celles-ci sont réduites à leurs caractères empiriques tels qu'ils se manifestent dans l'expérience vulgaire, tant que l'imagination religieuse n'est pas venue les métamorphoser, nous n'avons pour elles rien qui ressemble à du respect et elles n'ont rien</w:t>
      </w:r>
      <w:r w:rsidRPr="009A6BD2">
        <w:rPr>
          <w:rFonts w:ascii="Times New Roman" w:hAnsi="Times New Roman" w:cs="Times"/>
        </w:rPr>
        <w:t xml:space="preserve"> de ce qu'il faut pour nous élever au-dessus de nous-même. Les représentations qui les expriment nous apparaissent donc comme très différentes de celles qu'éveillent en nous les influences collectives. Les unes et les autres forment dans notre conscience d</w:t>
      </w:r>
      <w:r w:rsidRPr="009A6BD2">
        <w:rPr>
          <w:rFonts w:ascii="Times New Roman" w:hAnsi="Times New Roman" w:cs="Times"/>
        </w:rPr>
        <w:t>eux cercles d'états mentaux, distincts et séparés, comme les deux formes de vie auxquelles elles correspondent. Par suite, nous avons l'impression que nous sommes en relations avec deux sortes de réalités, distinctes elles-mêmes, et qu'une ligne de démarca</w:t>
      </w:r>
      <w:r w:rsidRPr="009A6BD2">
        <w:rPr>
          <w:rFonts w:ascii="Times New Roman" w:hAnsi="Times New Roman" w:cs="Times"/>
        </w:rPr>
        <w:t>tion nettement tranchée sépare l'une de l'autre : c'est, d'un côté, le monde des choses profanes, et de l'autre, celui des choses sacrées.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Au reste, tant dans le présent que dans l'histoire, nous voyons sans cesse la société créer de toutes pièces des cho</w:t>
      </w:r>
      <w:r w:rsidRPr="009A6BD2">
        <w:rPr>
          <w:rFonts w:ascii="Times New Roman" w:hAnsi="Times New Roman" w:cs="Times"/>
        </w:rPr>
        <w:t>ses sacrées. Qu'elle vienne à s'éprendre d'un homme, qu'elle croie découvrir en lui les principales aspirations qui la travaillent ainsi que les moyens d'y donner satisfaction, et cet homme sera mis hors de pair et comme divinisé. Il sera investi par l'opi</w:t>
      </w:r>
      <w:r w:rsidRPr="009A6BD2">
        <w:rPr>
          <w:rFonts w:ascii="Times New Roman" w:hAnsi="Times New Roman" w:cs="Times"/>
        </w:rPr>
        <w:t xml:space="preserve">nion d'une majesté tout à fait analogue à celle qui protège les dieux. C'est ce qui est advenu de tant de souverains, en qui leur siècle avait foi : si l'on n'en faisait pas des dieux, on voyait du moins en eux des représentants directs de la divinité. Et </w:t>
      </w:r>
      <w:r w:rsidRPr="009A6BD2">
        <w:rPr>
          <w:rFonts w:ascii="Times New Roman" w:hAnsi="Times New Roman" w:cs="Times"/>
        </w:rPr>
        <w:t>ce qui montre bien que c'est la société toute seule qui est l'auteur de ces sortes d'apothéoses, c'est qu'il lui est arrivé souvent de consacrer ainsi des hommes qui, par leur mérite propre, n'y avaient aucun droit. D'ailleurs, la simple déférence qu'inspi</w:t>
      </w:r>
      <w:r w:rsidRPr="009A6BD2">
        <w:rPr>
          <w:rFonts w:ascii="Times New Roman" w:hAnsi="Times New Roman" w:cs="Times"/>
        </w:rPr>
        <w:t>rent les hommes investis de hautes fonctions sociales n'est pas d'une autre nature que le respect religieux. Elle se traduit par les mêmes mouve</w:t>
      </w:r>
      <w:r w:rsidRPr="009A6BD2">
        <w:rPr>
          <w:rFonts w:ascii="Times" w:hAnsi="Times New Roman" w:cs="Times"/>
        </w:rPr>
        <w:softHyphen/>
      </w:r>
      <w:r w:rsidRPr="009A6BD2">
        <w:rPr>
          <w:rFonts w:ascii="Times New Roman" w:hAnsi="Times New Roman" w:cs="Times"/>
        </w:rPr>
        <w:t>ments : on se tient à distance d'un haut personnage ; on ne l'aborde qu'avec précautions ; pour s'entretenir av</w:t>
      </w:r>
      <w:r w:rsidRPr="009A6BD2">
        <w:rPr>
          <w:rFonts w:ascii="Times New Roman" w:hAnsi="Times New Roman" w:cs="Times"/>
        </w:rPr>
        <w:t>ec lui on emploie un autre langage et d'autres gestes que ceux qui servent avec le commun des mortels. Le sentiment que l'on éprouve dans ces circonstances est si proche parent du sentiment religieux que bien des peuples les ont confondus. Pour expliquer l</w:t>
      </w:r>
      <w:r w:rsidRPr="009A6BD2">
        <w:rPr>
          <w:rFonts w:ascii="Times New Roman" w:hAnsi="Times New Roman" w:cs="Times"/>
        </w:rPr>
        <w:t xml:space="preserve">a considération dont jouissent les princes, les nobles, les chefs politiques, on leur a attribué un caractère sacré. En Mélanésie et en Polynésie, par exemple, on dit d'un homme influent qu'il a du </w:t>
      </w:r>
      <w:r w:rsidRPr="009A6BD2">
        <w:rPr>
          <w:rFonts w:ascii="Times New Roman" w:hAnsi="Times New Roman" w:cs="Times"/>
          <w:i/>
          <w:iCs/>
        </w:rPr>
        <w:t xml:space="preserve">mana </w:t>
      </w:r>
      <w:r w:rsidRPr="009A6BD2">
        <w:rPr>
          <w:rFonts w:ascii="Times New Roman" w:hAnsi="Times New Roman" w:cs="Times"/>
        </w:rPr>
        <w:t xml:space="preserve">et c'est à ce </w:t>
      </w:r>
      <w:r w:rsidRPr="009A6BD2">
        <w:rPr>
          <w:rFonts w:ascii="Times New Roman" w:hAnsi="Times New Roman" w:cs="Times"/>
          <w:i/>
          <w:iCs/>
        </w:rPr>
        <w:t xml:space="preserve">mana </w:t>
      </w:r>
      <w:r w:rsidRPr="009A6BD2">
        <w:rPr>
          <w:rFonts w:ascii="Times New Roman" w:hAnsi="Times New Roman" w:cs="Times"/>
        </w:rPr>
        <w:t>qu'on impute son influence </w:t>
      </w:r>
      <w:r w:rsidRPr="009A6BD2">
        <w:rPr>
          <w:rStyle w:val="Rimandonotaapidipagina"/>
          <w:rFonts w:ascii="Times" w:hAnsi="Times New Roman" w:cs="Times"/>
        </w:rPr>
        <w:footnoteReference w:id="475"/>
      </w:r>
      <w:r w:rsidRPr="009A6BD2">
        <w:rPr>
          <w:rFonts w:ascii="Times New Roman" w:hAnsi="Times New Roman" w:cs="Times"/>
        </w:rPr>
        <w:t>. Il e</w:t>
      </w:r>
      <w:r w:rsidRPr="009A6BD2">
        <w:rPr>
          <w:rFonts w:ascii="Times New Roman" w:hAnsi="Times New Roman" w:cs="Times"/>
        </w:rPr>
        <w:t>st clair pourtant que sa situation lui vient uniquement de l'importance que l'opinion lui prête. C'est donc que le pouvoir moral que confère l'opinion et celui dont sont investis les êtres sacrés ont au fond une même origine et sont faits des mêmes élément</w:t>
      </w:r>
      <w:r w:rsidRPr="009A6BD2">
        <w:rPr>
          <w:rFonts w:ascii="Times New Roman" w:hAnsi="Times New Roman" w:cs="Times"/>
        </w:rPr>
        <w:t>s. C'est ce qui explique qu'un même mot puisse servir à désigner l'un et l'autre.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 aussi bien que des hommes, la société consacre des choses, notamment des idées. Qu'une croyance soit unanimement partagée par un peuple, et, pour les raisons que nous a</w:t>
      </w:r>
      <w:r w:rsidRPr="009A6BD2">
        <w:rPr>
          <w:rFonts w:ascii="Times New Roman" w:hAnsi="Times New Roman" w:cs="Times"/>
        </w:rPr>
        <w:t>vons exposées plus haut, il est interdit d'y toucher, c'est-à-dire de la nier ou de la contester. Or l'interdit de la critique est un interdit comme les autres et prouve que l'on est en face de quelque chose de sacré. Même aujourd'hui, si grande que soit l</w:t>
      </w:r>
      <w:r w:rsidRPr="009A6BD2">
        <w:rPr>
          <w:rFonts w:ascii="Times New Roman" w:hAnsi="Times New Roman" w:cs="Times"/>
        </w:rPr>
        <w:t>a liberté que nous nous accordons les uns aux autres, un homme qui nierait totalement le progrès, qui bafouerait l'idéal humain auquel les sociétés modernes sont attachées, ferait l'effet d'un sacrilège. Il y a, tout au moins, un principe que les peuples l</w:t>
      </w:r>
      <w:r w:rsidRPr="009A6BD2">
        <w:rPr>
          <w:rFonts w:ascii="Times New Roman" w:hAnsi="Times New Roman" w:cs="Times"/>
        </w:rPr>
        <w:t>es plus épris de libre examen tendent à mettre au-dessus de la discussion et à regarder comme intangible, c'est-à-dire comme sacré : c'est le principe même du libre examen.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Cette aptitude de la société à s'ériger en dieu ou à créer des dieux ne fut nulle </w:t>
      </w:r>
      <w:r w:rsidRPr="009A6BD2">
        <w:rPr>
          <w:rFonts w:ascii="Times New Roman" w:hAnsi="Times New Roman" w:cs="Times"/>
        </w:rPr>
        <w:t>part plus visible que pendant les premières années de la Révolution. A ce moment, en effet, sous l'influ</w:t>
      </w:r>
      <w:r w:rsidRPr="009A6BD2">
        <w:rPr>
          <w:rFonts w:ascii="Times" w:hAnsi="Times New Roman" w:cs="Times"/>
        </w:rPr>
        <w:softHyphen/>
      </w:r>
      <w:r w:rsidRPr="009A6BD2">
        <w:rPr>
          <w:rFonts w:ascii="Times New Roman" w:hAnsi="Times New Roman" w:cs="Times"/>
        </w:rPr>
        <w:t>ence de l'enthousiasme général, des choses, purement laïques par nature, furent trans</w:t>
      </w:r>
      <w:r w:rsidRPr="009A6BD2">
        <w:rPr>
          <w:rFonts w:ascii="Times" w:hAnsi="Times New Roman" w:cs="Times"/>
        </w:rPr>
        <w:softHyphen/>
      </w:r>
      <w:r w:rsidRPr="009A6BD2">
        <w:rPr>
          <w:rFonts w:ascii="Times New Roman" w:hAnsi="Times New Roman" w:cs="Times"/>
        </w:rPr>
        <w:t>for</w:t>
      </w:r>
      <w:r w:rsidRPr="009A6BD2">
        <w:rPr>
          <w:rFonts w:ascii="Times" w:hAnsi="Times New Roman" w:cs="Times"/>
        </w:rPr>
        <w:softHyphen/>
      </w:r>
      <w:r w:rsidRPr="009A6BD2">
        <w:rPr>
          <w:rFonts w:ascii="Times New Roman" w:hAnsi="Times New Roman" w:cs="Times"/>
        </w:rPr>
        <w:t>mées par l'opinion publique en choses sacrées : c'est la Patr</w:t>
      </w:r>
      <w:r w:rsidRPr="009A6BD2">
        <w:rPr>
          <w:rFonts w:ascii="Times New Roman" w:hAnsi="Times New Roman" w:cs="Times"/>
        </w:rPr>
        <w:t>ie, la Liberté, la Raison </w:t>
      </w:r>
      <w:r w:rsidRPr="009A6BD2">
        <w:rPr>
          <w:rStyle w:val="Rimandonotaapidipagina"/>
          <w:rFonts w:ascii="Times" w:hAnsi="Times New Roman" w:cs="Times"/>
        </w:rPr>
        <w:footnoteReference w:id="476"/>
      </w:r>
      <w:r w:rsidRPr="009A6BD2">
        <w:rPr>
          <w:rFonts w:ascii="Times New Roman" w:hAnsi="Times New Roman" w:cs="Times"/>
        </w:rPr>
        <w:t>. Une religion tendit d'elle-même à s'établir qui avait son dogme </w:t>
      </w:r>
      <w:r w:rsidRPr="009A6BD2">
        <w:rPr>
          <w:rStyle w:val="Rimandonotaapidipagina"/>
          <w:rFonts w:ascii="Times" w:hAnsi="Times New Roman" w:cs="Times"/>
        </w:rPr>
        <w:footnoteReference w:id="477"/>
      </w:r>
      <w:r w:rsidRPr="009A6BD2">
        <w:rPr>
          <w:rFonts w:ascii="Times New Roman" w:hAnsi="Times New Roman" w:cs="Times"/>
        </w:rPr>
        <w:t>, ses symboles </w:t>
      </w:r>
      <w:r w:rsidRPr="009A6BD2">
        <w:rPr>
          <w:rStyle w:val="Rimandonotaapidipagina"/>
          <w:rFonts w:ascii="Times" w:hAnsi="Times New Roman" w:cs="Times"/>
        </w:rPr>
        <w:footnoteReference w:id="478"/>
      </w:r>
      <w:r w:rsidRPr="009A6BD2">
        <w:rPr>
          <w:rFonts w:ascii="Times New Roman" w:hAnsi="Times New Roman" w:cs="Times"/>
        </w:rPr>
        <w:t>, ses autels </w:t>
      </w:r>
      <w:r w:rsidRPr="009A6BD2">
        <w:rPr>
          <w:rStyle w:val="Rimandonotaapidipagina"/>
          <w:rFonts w:ascii="Times" w:hAnsi="Times New Roman" w:cs="Times"/>
        </w:rPr>
        <w:footnoteReference w:id="479"/>
      </w:r>
      <w:r w:rsidRPr="009A6BD2">
        <w:rPr>
          <w:rFonts w:ascii="Times New Roman" w:hAnsi="Times New Roman" w:cs="Times"/>
        </w:rPr>
        <w:t xml:space="preserve"> et ses fêtes </w:t>
      </w:r>
      <w:r w:rsidRPr="009A6BD2">
        <w:rPr>
          <w:rStyle w:val="Rimandonotaapidipagina"/>
          <w:rFonts w:ascii="Times" w:hAnsi="Times New Roman" w:cs="Times"/>
        </w:rPr>
        <w:footnoteReference w:id="480"/>
      </w:r>
      <w:r w:rsidRPr="009A6BD2">
        <w:rPr>
          <w:rFonts w:ascii="Times New Roman" w:hAnsi="Times New Roman" w:cs="Times"/>
        </w:rPr>
        <w:t>. C'est à ces aspirations spontanées que le culte de la Raison et de l'Être suprême essaya d'apporter une sorte de sa</w:t>
      </w:r>
      <w:r w:rsidRPr="009A6BD2">
        <w:rPr>
          <w:rFonts w:ascii="Times New Roman" w:hAnsi="Times New Roman" w:cs="Times"/>
        </w:rPr>
        <w:t>tisfaction officielle. Cette rénovation religieuse n'eut, il est vrai, qu'une durée éphémère. Mais c'est que l'enthou</w:t>
      </w:r>
      <w:r w:rsidRPr="009A6BD2">
        <w:rPr>
          <w:rFonts w:ascii="Times" w:hAnsi="Times New Roman" w:cs="Times"/>
        </w:rPr>
        <w:softHyphen/>
      </w:r>
      <w:r w:rsidRPr="009A6BD2">
        <w:rPr>
          <w:rFonts w:ascii="Times New Roman" w:hAnsi="Times New Roman" w:cs="Times"/>
        </w:rPr>
        <w:t>sias</w:t>
      </w:r>
      <w:r w:rsidRPr="009A6BD2">
        <w:rPr>
          <w:rFonts w:ascii="Times" w:hAnsi="Times New Roman" w:cs="Times"/>
        </w:rPr>
        <w:softHyphen/>
      </w:r>
      <w:r w:rsidRPr="009A6BD2">
        <w:rPr>
          <w:rFonts w:ascii="Times New Roman" w:hAnsi="Times New Roman" w:cs="Times"/>
        </w:rPr>
        <w:t>me patriotique qui, à l'origine, transportait les masses, alla lui-même en s'affaiblissant </w:t>
      </w:r>
      <w:r w:rsidRPr="009A6BD2">
        <w:rPr>
          <w:rStyle w:val="Rimandonotaapidipagina"/>
          <w:rFonts w:ascii="Times" w:hAnsi="Times New Roman" w:cs="Times"/>
        </w:rPr>
        <w:footnoteReference w:id="481"/>
      </w:r>
      <w:r w:rsidRPr="009A6BD2">
        <w:rPr>
          <w:rFonts w:ascii="Times New Roman" w:hAnsi="Times New Roman" w:cs="Times"/>
        </w:rPr>
        <w:t>. La cause disparaissant, l'effet ne pouv</w:t>
      </w:r>
      <w:r w:rsidRPr="009A6BD2">
        <w:rPr>
          <w:rFonts w:ascii="Times New Roman" w:hAnsi="Times New Roman" w:cs="Times"/>
        </w:rPr>
        <w:t>ait se maintenir. Mais l'expérience pour avoir été courte, garde tout son intérêt sociologique. Il reste que, dans un cas déterminé, on a vu la société et ses idées essentielles devenir, directement et sans transfiguration d'aucune sorte, l'objet d'un véri</w:t>
      </w:r>
      <w:r w:rsidRPr="009A6BD2">
        <w:rPr>
          <w:rFonts w:ascii="Times New Roman" w:hAnsi="Times New Roman" w:cs="Times"/>
        </w:rPr>
        <w:t>table culte.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Tous ces faits permettent déjà d'entrevoir comment le clan peut éveiller chez ses mem</w:t>
      </w:r>
      <w:r w:rsidRPr="009A6BD2">
        <w:rPr>
          <w:rFonts w:ascii="Times" w:hAnsi="Times New Roman" w:cs="Times"/>
        </w:rPr>
        <w:softHyphen/>
      </w:r>
      <w:r w:rsidRPr="009A6BD2">
        <w:rPr>
          <w:rFonts w:ascii="Times New Roman" w:hAnsi="Times New Roman" w:cs="Times"/>
        </w:rPr>
        <w:t>bres l'idée qu'il existe en dehors d'eux des forces qui les dominent et, en même temps, les soutiennent, c'est-à-dire en somme, des forces religieuses : c'e</w:t>
      </w:r>
      <w:r w:rsidRPr="009A6BD2">
        <w:rPr>
          <w:rFonts w:ascii="Times New Roman" w:hAnsi="Times New Roman" w:cs="Times"/>
        </w:rPr>
        <w:t>st qu'il n'est pas de société dont le primitif soit plus directement et plus étroitement solidaire. Les liens qui l'attachent à la tribu sont plus lâches et plus faiblement ressentis. Bien qu'elle ne soit certainement pas pour lui une étrangère, c'est avec</w:t>
      </w:r>
      <w:r w:rsidRPr="009A6BD2">
        <w:rPr>
          <w:rFonts w:ascii="Times New Roman" w:hAnsi="Times New Roman" w:cs="Times"/>
        </w:rPr>
        <w:t xml:space="preserve"> les gens de son clan qu'il a le plus de choses communes ; c'est l'action de ce groupe qu'il sent le plus immédiatement ; c'est donc elle aussi qui, de préfé</w:t>
      </w:r>
      <w:r w:rsidRPr="009A6BD2">
        <w:rPr>
          <w:rFonts w:ascii="Times" w:hAnsi="Times New Roman" w:cs="Times"/>
        </w:rPr>
        <w:softHyphen/>
      </w:r>
      <w:r w:rsidRPr="009A6BD2">
        <w:rPr>
          <w:rFonts w:ascii="Times New Roman" w:hAnsi="Times New Roman" w:cs="Times"/>
        </w:rPr>
        <w:t>rence à tout autre, devait s'exprimer en symboles religieux.</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cette première explication est </w:t>
      </w:r>
      <w:r w:rsidRPr="009A6BD2">
        <w:rPr>
          <w:rFonts w:ascii="Times New Roman" w:hAnsi="Times New Roman" w:cs="Times"/>
        </w:rPr>
        <w:t>trop générale, puisqu'elle s'applique indifféremment à toute espèce de société et, par suite, de religion. Cherchons donc à préciser quelle forme particulière cette action collective prend dans le clan, et comment elle y suscite la sensation du sacré. Auss</w:t>
      </w:r>
      <w:r w:rsidRPr="009A6BD2">
        <w:rPr>
          <w:rFonts w:ascii="Times New Roman" w:hAnsi="Times New Roman" w:cs="Times"/>
        </w:rPr>
        <w:t>i bien n'est-elle nulle part plus facilement observable ni plus apparente dans ses résultats.</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pStyle w:val="section"/>
        <w:rPr>
          <w:rFonts w:ascii="Times New Roman" w:hAnsi="Times New Roman"/>
        </w:rPr>
      </w:pPr>
      <w:bookmarkStart w:id="40" w:name="livre_2_chap_7_3"/>
      <w:r w:rsidRPr="009A6BD2">
        <w:rPr>
          <w:rFonts w:ascii="Times New Roman" w:hAnsi="Times New Roman"/>
        </w:rPr>
        <w:t>III</w:t>
      </w:r>
    </w:p>
    <w:bookmarkEnd w:id="40"/>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La vie des sociétés australiennes passe alternativement par deux phases différentes </w:t>
      </w:r>
      <w:r w:rsidRPr="009A6BD2">
        <w:rPr>
          <w:rStyle w:val="Rimandonotaapidipagina"/>
          <w:rFonts w:ascii="Times" w:hAnsi="Times New Roman" w:cs="Times"/>
        </w:rPr>
        <w:footnoteReference w:id="482"/>
      </w:r>
      <w:r w:rsidRPr="009A6BD2">
        <w:rPr>
          <w:rFonts w:ascii="Times New Roman" w:hAnsi="Times New Roman" w:cs="Times"/>
        </w:rPr>
        <w:t>. Tantôt la population est dis</w:t>
      </w:r>
      <w:r w:rsidRPr="009A6BD2">
        <w:rPr>
          <w:rFonts w:ascii="Times New Roman" w:hAnsi="Times New Roman" w:cs="Times"/>
        </w:rPr>
        <w:t>persée par petits groupes qui vaquent, indépendamment les uns des autres, à leurs occupations ; chaque famille vit alors de son côté, chassant, pêchant, cherchant en un mot, à se procurer la nourriture indispensable par tous les moyens dont elle dispose. T</w:t>
      </w:r>
      <w:r w:rsidRPr="009A6BD2">
        <w:rPr>
          <w:rFonts w:ascii="Times New Roman" w:hAnsi="Times New Roman" w:cs="Times"/>
        </w:rPr>
        <w:t>antôt, au contraire, la population se concentre et se condense, pour un temps qui varie de plusieurs jours à plusieurs mois, sur des points déterminés. Cette concentration a eu lieu quand un clan ou une portion de tribu </w:t>
      </w:r>
      <w:r w:rsidRPr="009A6BD2">
        <w:rPr>
          <w:rStyle w:val="Rimandonotaapidipagina"/>
          <w:rFonts w:ascii="Times" w:hAnsi="Times New Roman" w:cs="Times"/>
        </w:rPr>
        <w:footnoteReference w:id="483"/>
      </w:r>
      <w:r w:rsidRPr="009A6BD2">
        <w:rPr>
          <w:rFonts w:ascii="Times New Roman" w:hAnsi="Times New Roman" w:cs="Times"/>
        </w:rPr>
        <w:t xml:space="preserve"> est convoqué dans ses assises et q</w:t>
      </w:r>
      <w:r w:rsidRPr="009A6BD2">
        <w:rPr>
          <w:rFonts w:ascii="Times New Roman" w:hAnsi="Times New Roman" w:cs="Times"/>
        </w:rPr>
        <w:t>ue, à cette occasion, on célèbre une cérémonie religieuse ou qu'on tient ce qu'on appelle, dans le langage usuel de l'ethnographie, un corrobbori </w:t>
      </w:r>
      <w:r w:rsidRPr="009A6BD2">
        <w:rPr>
          <w:rStyle w:val="Rimandonotaapidipagina"/>
          <w:rFonts w:ascii="Times" w:hAnsi="Times New Roman" w:cs="Times"/>
        </w:rPr>
        <w:footnoteReference w:id="48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deux phases contrastent l'une avec l'autre de la manière la plus tranchée. Dans la première, l'activit</w:t>
      </w:r>
      <w:r w:rsidRPr="009A6BD2">
        <w:rPr>
          <w:rFonts w:ascii="Times New Roman" w:hAnsi="Times New Roman" w:cs="Times"/>
        </w:rPr>
        <w:t>é économique est prépondérante, et elle est généralement d'une très médio</w:t>
      </w:r>
      <w:r w:rsidRPr="009A6BD2">
        <w:rPr>
          <w:rFonts w:ascii="Times" w:hAnsi="Times New Roman" w:cs="Times"/>
        </w:rPr>
        <w:softHyphen/>
      </w:r>
      <w:r w:rsidRPr="009A6BD2">
        <w:rPr>
          <w:rFonts w:ascii="Times New Roman" w:hAnsi="Times New Roman" w:cs="Times"/>
        </w:rPr>
        <w:t>cre intensité. La collecte des graines ou des herbes nécessaires à l'alimentation, la chasse ou la pêche ne sont pas des occupations qui peuvent éveiller de bien vives passions </w:t>
      </w:r>
      <w:r w:rsidRPr="009A6BD2">
        <w:rPr>
          <w:rStyle w:val="Rimandonotaapidipagina"/>
          <w:rFonts w:ascii="Times" w:hAnsi="Times New Roman" w:cs="Times"/>
        </w:rPr>
        <w:footnoteReference w:id="485"/>
      </w:r>
      <w:r w:rsidRPr="009A6BD2">
        <w:rPr>
          <w:rFonts w:ascii="Times New Roman" w:hAnsi="Times New Roman" w:cs="Times"/>
        </w:rPr>
        <w:t>. L'</w:t>
      </w:r>
      <w:r w:rsidRPr="009A6BD2">
        <w:rPr>
          <w:rFonts w:ascii="Times New Roman" w:hAnsi="Times New Roman" w:cs="Times"/>
        </w:rPr>
        <w:t>état de dispersion où se trouve alors la société achève de rendre la vie uniforme, languissante et terne </w:t>
      </w:r>
      <w:r w:rsidRPr="009A6BD2">
        <w:rPr>
          <w:rStyle w:val="Rimandonotaapidipagina"/>
          <w:rFonts w:ascii="Times" w:hAnsi="Times New Roman" w:cs="Times"/>
        </w:rPr>
        <w:footnoteReference w:id="486"/>
      </w:r>
      <w:r w:rsidRPr="009A6BD2">
        <w:rPr>
          <w:rFonts w:ascii="Times New Roman" w:hAnsi="Times New Roman" w:cs="Times"/>
        </w:rPr>
        <w:t>. Mais qu'un corrobbori ait lieu et tout change. Parce que les facultés émotives et passionnelles du primitif ne sont qu'imparfaitement soumises au co</w:t>
      </w:r>
      <w:r w:rsidRPr="009A6BD2">
        <w:rPr>
          <w:rFonts w:ascii="Times New Roman" w:hAnsi="Times New Roman" w:cs="Times"/>
        </w:rPr>
        <w:t>ntrôle de sa raison et de sa volonté, il perd aisément la maîtrise de soi. Un événement de quelque impor</w:t>
      </w:r>
      <w:r w:rsidRPr="009A6BD2">
        <w:rPr>
          <w:rFonts w:ascii="Times" w:hAnsi="Times New Roman" w:cs="Times"/>
        </w:rPr>
        <w:softHyphen/>
      </w:r>
      <w:r w:rsidRPr="009A6BD2">
        <w:rPr>
          <w:rFonts w:ascii="Times New Roman" w:hAnsi="Times New Roman" w:cs="Times"/>
        </w:rPr>
        <w:t>tance le met tout de suite hors de lui. Reçoit-il une heureuse nouvelle ? Ce sont des transports d'enthousiasme. Dans le cas contraire, on le voit cour</w:t>
      </w:r>
      <w:r w:rsidRPr="009A6BD2">
        <w:rPr>
          <w:rFonts w:ascii="Times New Roman" w:hAnsi="Times New Roman" w:cs="Times"/>
        </w:rPr>
        <w:t>ir ça et là comme un fou, se livrer à toutes sortes de mouvements désordonnés, crier, hurler, ramasser de la poussière, la jeter dans toutes les directions, se mordre, brandir ses armes d'un air furieux, etc. </w:t>
      </w:r>
      <w:r w:rsidRPr="009A6BD2">
        <w:rPr>
          <w:rStyle w:val="Rimandonotaapidipagina"/>
          <w:rFonts w:ascii="Times" w:hAnsi="Times New Roman" w:cs="Times"/>
        </w:rPr>
        <w:footnoteReference w:id="487"/>
      </w:r>
      <w:r w:rsidRPr="009A6BD2">
        <w:rPr>
          <w:rFonts w:ascii="Times New Roman" w:hAnsi="Times New Roman" w:cs="Times"/>
        </w:rPr>
        <w:t xml:space="preserve"> Or, le seul fait de l'agglomé</w:t>
      </w:r>
      <w:r w:rsidRPr="009A6BD2">
        <w:rPr>
          <w:rFonts w:ascii="Times" w:hAnsi="Times New Roman" w:cs="Times"/>
        </w:rPr>
        <w:softHyphen/>
      </w:r>
      <w:r w:rsidRPr="009A6BD2">
        <w:rPr>
          <w:rFonts w:ascii="Times New Roman" w:hAnsi="Times New Roman" w:cs="Times"/>
        </w:rPr>
        <w:t>ration agit com</w:t>
      </w:r>
      <w:r w:rsidRPr="009A6BD2">
        <w:rPr>
          <w:rFonts w:ascii="Times New Roman" w:hAnsi="Times New Roman" w:cs="Times"/>
        </w:rPr>
        <w:t>me un excitant exceptionnelle</w:t>
      </w:r>
      <w:r w:rsidRPr="009A6BD2">
        <w:rPr>
          <w:rFonts w:ascii="Times" w:hAnsi="Times New Roman" w:cs="Times"/>
        </w:rPr>
        <w:softHyphen/>
      </w:r>
      <w:r w:rsidRPr="009A6BD2">
        <w:rPr>
          <w:rFonts w:ascii="Times New Roman" w:hAnsi="Times New Roman" w:cs="Times"/>
        </w:rPr>
        <w:t>ment puissant. Une fois les individus assemblés il se dégage de leur rapprochement une sorte d'électricité qui les trans</w:t>
      </w:r>
      <w:r w:rsidRPr="009A6BD2">
        <w:rPr>
          <w:rFonts w:ascii="Times" w:hAnsi="Times New Roman" w:cs="Times"/>
        </w:rPr>
        <w:softHyphen/>
      </w:r>
      <w:r w:rsidRPr="009A6BD2">
        <w:rPr>
          <w:rFonts w:ascii="Times New Roman" w:hAnsi="Times New Roman" w:cs="Times"/>
        </w:rPr>
        <w:t>por</w:t>
      </w:r>
      <w:r w:rsidRPr="009A6BD2">
        <w:rPr>
          <w:rFonts w:ascii="Times" w:hAnsi="Times New Roman" w:cs="Times"/>
        </w:rPr>
        <w:softHyphen/>
      </w:r>
      <w:r w:rsidRPr="009A6BD2">
        <w:rPr>
          <w:rFonts w:ascii="Times New Roman" w:hAnsi="Times New Roman" w:cs="Times"/>
        </w:rPr>
        <w:t>te vite à un degré extraordinaire d'exaltation. Chaque sentiment exprimé vient retentir, sans résista</w:t>
      </w:r>
      <w:r w:rsidRPr="009A6BD2">
        <w:rPr>
          <w:rFonts w:ascii="Times New Roman" w:hAnsi="Times New Roman" w:cs="Times"/>
        </w:rPr>
        <w:t>nce, dans toutes ces consciences largement ouvertes aux impressions extérieures : chacune d'elles fait écho aux autres et réciproquement. L'impulsion initiale va ainsi s'ampli</w:t>
      </w:r>
      <w:r w:rsidRPr="009A6BD2">
        <w:rPr>
          <w:rFonts w:ascii="Times" w:hAnsi="Times New Roman" w:cs="Times"/>
        </w:rPr>
        <w:softHyphen/>
      </w:r>
      <w:r w:rsidRPr="009A6BD2">
        <w:rPr>
          <w:rFonts w:ascii="Times New Roman" w:hAnsi="Times New Roman" w:cs="Times"/>
        </w:rPr>
        <w:t>fiant à mesure qu'elle se répercute, comme une avalanche grossit à mesure qu'ell</w:t>
      </w:r>
      <w:r w:rsidRPr="009A6BD2">
        <w:rPr>
          <w:rFonts w:ascii="Times New Roman" w:hAnsi="Times New Roman" w:cs="Times"/>
        </w:rPr>
        <w:t>e avance. Et comme des passions aussi vives et aussi affranchies de tout contrôle ne peuvent pas ne pas se répandre au dehors, ce ne sont, de toutes parts, que gestes violents, que cris, véritables hurlements, bruits assour</w:t>
      </w:r>
      <w:r w:rsidRPr="009A6BD2">
        <w:rPr>
          <w:rFonts w:ascii="Times" w:hAnsi="Times New Roman" w:cs="Times"/>
        </w:rPr>
        <w:softHyphen/>
      </w:r>
      <w:r w:rsidRPr="009A6BD2">
        <w:rPr>
          <w:rFonts w:ascii="Times New Roman" w:hAnsi="Times New Roman" w:cs="Times"/>
        </w:rPr>
        <w:t>dis</w:t>
      </w:r>
      <w:r w:rsidRPr="009A6BD2">
        <w:rPr>
          <w:rFonts w:ascii="Times" w:hAnsi="Times New Roman" w:cs="Times"/>
        </w:rPr>
        <w:softHyphen/>
      </w:r>
      <w:r w:rsidRPr="009A6BD2">
        <w:rPr>
          <w:rFonts w:ascii="Times New Roman" w:hAnsi="Times New Roman" w:cs="Times"/>
        </w:rPr>
        <w:t>sants de toute sorte qui con</w:t>
      </w:r>
      <w:r w:rsidRPr="009A6BD2">
        <w:rPr>
          <w:rFonts w:ascii="Times New Roman" w:hAnsi="Times New Roman" w:cs="Times"/>
        </w:rPr>
        <w:t>tribuent encore à intensifier l'état qu'ils manifestent. Sans doute, parce qu'un sentiment collectif ne peut s'exprimer collectivement qu'à condition d'ob</w:t>
      </w:r>
      <w:r w:rsidRPr="009A6BD2">
        <w:rPr>
          <w:rFonts w:ascii="Times" w:hAnsi="Times New Roman" w:cs="Times"/>
        </w:rPr>
        <w:softHyphen/>
      </w:r>
      <w:r w:rsidRPr="009A6BD2">
        <w:rPr>
          <w:rFonts w:ascii="Times New Roman" w:hAnsi="Times New Roman" w:cs="Times"/>
        </w:rPr>
        <w:t>ser</w:t>
      </w:r>
      <w:r w:rsidRPr="009A6BD2">
        <w:rPr>
          <w:rFonts w:ascii="Times" w:hAnsi="Times New Roman" w:cs="Times"/>
        </w:rPr>
        <w:softHyphen/>
      </w:r>
      <w:r w:rsidRPr="009A6BD2">
        <w:rPr>
          <w:rFonts w:ascii="Times New Roman" w:hAnsi="Times New Roman" w:cs="Times"/>
        </w:rPr>
        <w:t>ver un certain ordre qui permette le concert et les mouvements d'ensemble, ces gestes et ces cris</w:t>
      </w:r>
      <w:r w:rsidRPr="009A6BD2">
        <w:rPr>
          <w:rFonts w:ascii="Times New Roman" w:hAnsi="Times New Roman" w:cs="Times"/>
        </w:rPr>
        <w:t xml:space="preserve"> tendent d'eux-mêmes à se rythmer et à se régulariser ; de là, les chants et les danses. Mais, en prenant une forme plus régulière, ils ne perdent rien de leur violence naturelle ; le tumulte réglé reste du tumulte. La voix humaine ne suffit même pas à la </w:t>
      </w:r>
      <w:r w:rsidRPr="009A6BD2">
        <w:rPr>
          <w:rFonts w:ascii="Times New Roman" w:hAnsi="Times New Roman" w:cs="Times"/>
        </w:rPr>
        <w:t xml:space="preserve">tâche on en renforce l'action au moyen de procédés artificiels on frappe les boomerangs les uns contre les autres ; on fait tourner les </w:t>
      </w:r>
      <w:r w:rsidRPr="009A6BD2">
        <w:rPr>
          <w:rFonts w:ascii="Times New Roman" w:hAnsi="Times New Roman" w:cs="Times"/>
          <w:i/>
          <w:iCs/>
        </w:rPr>
        <w:t xml:space="preserve">bull-roarers. </w:t>
      </w:r>
      <w:r w:rsidRPr="009A6BD2">
        <w:rPr>
          <w:rFonts w:ascii="Times New Roman" w:hAnsi="Times New Roman" w:cs="Times"/>
        </w:rPr>
        <w:t>Il est probable que ces instruments, dont l'emploi est si général dans les cérémonies religieuses d'Austra</w:t>
      </w:r>
      <w:r w:rsidRPr="009A6BD2">
        <w:rPr>
          <w:rFonts w:ascii="Times New Roman" w:hAnsi="Times New Roman" w:cs="Times"/>
        </w:rPr>
        <w:t>lie, ont, avant tout, servi à traduire d'une manière plus adéquate l'agitation ressentie. Mais en même temps qu'ils la traduisent, ils la renforcent. L'effervescence devient souvent telle qu'elle entraîne à des actes inouïs. Les passions déchaî</w:t>
      </w:r>
      <w:r w:rsidRPr="009A6BD2">
        <w:rPr>
          <w:rFonts w:ascii="Times" w:hAnsi="Times New Roman" w:cs="Times"/>
        </w:rPr>
        <w:softHyphen/>
      </w:r>
      <w:r w:rsidRPr="009A6BD2">
        <w:rPr>
          <w:rFonts w:ascii="Times New Roman" w:hAnsi="Times New Roman" w:cs="Times"/>
        </w:rPr>
        <w:t>nées sont d</w:t>
      </w:r>
      <w:r w:rsidRPr="009A6BD2">
        <w:rPr>
          <w:rFonts w:ascii="Times New Roman" w:hAnsi="Times New Roman" w:cs="Times"/>
        </w:rPr>
        <w:t>'une telle impétuosité qu'elles ne se laissent contenir par rien. On est tellement en dehors des conditions ordinaires de la vie et on en a si bien conscience qu'on éprouve comme le besoin de se mettre en dehors et au-dessus de la morale ordinaire. Les sex</w:t>
      </w:r>
      <w:r w:rsidRPr="009A6BD2">
        <w:rPr>
          <w:rFonts w:ascii="Times New Roman" w:hAnsi="Times New Roman" w:cs="Times"/>
        </w:rPr>
        <w:t>es s'accouplent contrairement aux règles qui président au commerce sexuel. Les hommes échangent leurs femmes. Parfois même, des unions incestueuses qui, en temps normal, sont jugées abominables et sont sévèrement condamnées, se contractent ostensiblement e</w:t>
      </w:r>
      <w:r w:rsidRPr="009A6BD2">
        <w:rPr>
          <w:rFonts w:ascii="Times New Roman" w:hAnsi="Times New Roman" w:cs="Times"/>
        </w:rPr>
        <w:t>t impu</w:t>
      </w:r>
      <w:r w:rsidRPr="009A6BD2">
        <w:rPr>
          <w:rFonts w:ascii="Times" w:hAnsi="Times New Roman" w:cs="Times"/>
        </w:rPr>
        <w:softHyphen/>
      </w:r>
      <w:r w:rsidRPr="009A6BD2">
        <w:rPr>
          <w:rFonts w:ascii="Times New Roman" w:hAnsi="Times New Roman" w:cs="Times"/>
        </w:rPr>
        <w:t>né</w:t>
      </w:r>
      <w:r w:rsidRPr="009A6BD2">
        <w:rPr>
          <w:rFonts w:ascii="Times" w:hAnsi="Times New Roman" w:cs="Times"/>
        </w:rPr>
        <w:softHyphen/>
      </w:r>
      <w:r w:rsidRPr="009A6BD2">
        <w:rPr>
          <w:rFonts w:ascii="Times New Roman" w:hAnsi="Times New Roman" w:cs="Times"/>
        </w:rPr>
        <w:t>ment </w:t>
      </w:r>
      <w:r w:rsidRPr="009A6BD2">
        <w:rPr>
          <w:rStyle w:val="Rimandonotaapidipagina"/>
          <w:rFonts w:ascii="Times" w:hAnsi="Times New Roman" w:cs="Times"/>
        </w:rPr>
        <w:footnoteReference w:id="488"/>
      </w:r>
      <w:r w:rsidRPr="009A6BD2">
        <w:rPr>
          <w:rFonts w:ascii="Times New Roman" w:hAnsi="Times New Roman" w:cs="Times"/>
        </w:rPr>
        <w:t>. Si l'on ajoute à cela que ces cérémonies ont généralement lien la nuit, au milieu de ténèbres que perce, çà et là, la lumière des feux, on se représentera aisément quel effet doivent produire de semblables scènes sur l'esprit de tous ceux</w:t>
      </w:r>
      <w:r w:rsidRPr="009A6BD2">
        <w:rPr>
          <w:rFonts w:ascii="Times New Roman" w:hAnsi="Times New Roman" w:cs="Times"/>
        </w:rPr>
        <w:t xml:space="preserve"> qui y participent. Elles déterminent une si violente surexcitation de toute la vie physique et mentale qu'elle ne peut être supportée très longtemps : l'acteur qui tient le principal rôle finit par tomber épuisé sur le sol </w:t>
      </w:r>
      <w:r w:rsidRPr="009A6BD2">
        <w:rPr>
          <w:rStyle w:val="Rimandonotaapidipagina"/>
          <w:rFonts w:ascii="Times" w:hAnsi="Times New Roman" w:cs="Times"/>
        </w:rPr>
        <w:footnoteReference w:id="48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Voici au surplus, pour illus</w:t>
      </w:r>
      <w:r w:rsidRPr="009A6BD2">
        <w:rPr>
          <w:rFonts w:ascii="Times New Roman" w:hAnsi="Times New Roman" w:cs="Times"/>
        </w:rPr>
        <w:t>trer et préciser ce tableau forcément schématique, le récit de quelques scènes que nous empruntons à Spencer et Gillen.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Une des solennités religieuses les plus importantes chez les Warramunga est celle qui concerne le serpent Wollunqua. C'est une série de</w:t>
      </w:r>
      <w:r w:rsidRPr="009A6BD2">
        <w:rPr>
          <w:rFonts w:ascii="Times New Roman" w:hAnsi="Times New Roman" w:cs="Times"/>
        </w:rPr>
        <w:t xml:space="preserve"> cérémonies qui se développent sur plusieurs jours. Au quatrième, a lieu celle que nous allons décrire.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Suivant le cérémonial usité chez les Warramunga, des représentants des deux phratries y prennent part, les uns en qualité d'officiants, les autres comm</w:t>
      </w:r>
      <w:r w:rsidRPr="009A6BD2">
        <w:rPr>
          <w:rFonts w:ascii="Times New Roman" w:hAnsi="Times New Roman" w:cs="Times"/>
        </w:rPr>
        <w:t>e préparateurs et assistants. Seuls, des gens de la phratrie Uluuru ont qualité pour célébrer le rite ; mais ce sont des membres de la phratrie Kingilli qui doivent décorer les acteurs, préparer l'emplacement, les instruments, et jouer le rôle de l'assembl</w:t>
      </w:r>
      <w:r w:rsidRPr="009A6BD2">
        <w:rPr>
          <w:rFonts w:ascii="Times New Roman" w:hAnsi="Times New Roman" w:cs="Times"/>
        </w:rPr>
        <w:t>ée. A ce titre, ils sont chargés de confectionner par avance, avec du sable mouillé, une sorte de monticule sur lequel est exécuté, au moyen du duvet rouge, un dessin qui figure le serpent Wollunqua. La cérémonie proprement dite, à laquelle assistèrent Spe</w:t>
      </w:r>
      <w:r w:rsidRPr="009A6BD2">
        <w:rPr>
          <w:rFonts w:ascii="Times New Roman" w:hAnsi="Times New Roman" w:cs="Times"/>
        </w:rPr>
        <w:t xml:space="preserve">ncer et Gillen, ne commença qu'une fois la nuit arrivée. Vers dix ou onze heures du soir, Uluuru et Kingilli arrivèrent sur le terrain; ils s'assirent sur le tertre et ils se mirent à chanter. Ils étaient tous dans un état d'évidente surexcitation </w:t>
      </w:r>
      <w:r w:rsidRPr="009A6BD2">
        <w:rPr>
          <w:rFonts w:ascii="Times New Roman" w:hAnsi="Times New Roman" w:cs="Times"/>
          <w:i/>
          <w:iCs/>
        </w:rPr>
        <w:t>(every o</w:t>
      </w:r>
      <w:r w:rsidRPr="009A6BD2">
        <w:rPr>
          <w:rFonts w:ascii="Times New Roman" w:hAnsi="Times New Roman" w:cs="Times"/>
          <w:i/>
          <w:iCs/>
        </w:rPr>
        <w:t xml:space="preserve">ne was evidently very excited). </w:t>
      </w:r>
      <w:r w:rsidRPr="009A6BD2">
        <w:rPr>
          <w:rFonts w:ascii="Times New Roman" w:hAnsi="Times New Roman" w:cs="Times"/>
        </w:rPr>
        <w:t>Un peu plus tard dans la soirée, les Uluuru amenèrent leurs femmes et les livrèrent aux Kingilli </w:t>
      </w:r>
      <w:r w:rsidRPr="009A6BD2">
        <w:rPr>
          <w:rStyle w:val="Rimandonotaapidipagina"/>
          <w:rFonts w:ascii="Times" w:hAnsi="Times New Roman" w:cs="Times"/>
        </w:rPr>
        <w:footnoteReference w:id="490"/>
      </w:r>
      <w:r w:rsidRPr="009A6BD2">
        <w:rPr>
          <w:rFonts w:ascii="Times New Roman" w:hAnsi="Times New Roman" w:cs="Times"/>
        </w:rPr>
        <w:t>, qui eurent commerce avec elles. On introduisit alors des jeunes gens récemment initiés auxquels toute la cérémonie fut expli</w:t>
      </w:r>
      <w:r w:rsidRPr="009A6BD2">
        <w:rPr>
          <w:rFonts w:ascii="Times New Roman" w:hAnsi="Times New Roman" w:cs="Times"/>
        </w:rPr>
        <w:t xml:space="preserve">quée en détail et, jusqu'à trois heures du matin, les chants se poursuivirent sans interruption. Alors eut lieu une scène d'une frénésie vraiment sauvage (a </w:t>
      </w:r>
      <w:r w:rsidRPr="009A6BD2">
        <w:rPr>
          <w:rFonts w:ascii="Times New Roman" w:hAnsi="Times New Roman" w:cs="Times"/>
          <w:i/>
          <w:iCs/>
        </w:rPr>
        <w:t xml:space="preserve">scene of the wildest excitement). </w:t>
      </w:r>
      <w:r w:rsidRPr="009A6BD2">
        <w:rPr>
          <w:rFonts w:ascii="Times New Roman" w:hAnsi="Times New Roman" w:cs="Times"/>
        </w:rPr>
        <w:t>Tandis que les feux, allumés de tous les côtés, faisaient ressort</w:t>
      </w:r>
      <w:r w:rsidRPr="009A6BD2">
        <w:rPr>
          <w:rFonts w:ascii="Times New Roman" w:hAnsi="Times New Roman" w:cs="Times"/>
        </w:rPr>
        <w:t>ir violemment la blancheur des gommiers sur le fond des ténèbres environnantes, les Uluuru s'agenouillèrent les uns derrière les autres à côté du tumulus, puis ils en firent le tour en se soulevant de terre, d'un mouvement d'ensemble, les deux mains appuyé</w:t>
      </w:r>
      <w:r w:rsidRPr="009A6BD2">
        <w:rPr>
          <w:rFonts w:ascii="Times New Roman" w:hAnsi="Times New Roman" w:cs="Times"/>
        </w:rPr>
        <w:t xml:space="preserve">es sur les cuisses, pour s'agenouiller à nouveau un peu plus loin, et ainsi de suite. En même temps, ils penchaient leurs corps tantôt à droite, tantôt à gauche poussant tous à la fois, à chacun de ces mouvements, un cri retentissant, véritable hurlement, </w:t>
      </w:r>
      <w:r w:rsidRPr="009A6BD2">
        <w:rPr>
          <w:rFonts w:ascii="Times New Roman" w:hAnsi="Times New Roman" w:cs="Times"/>
          <w:i/>
          <w:iCs/>
        </w:rPr>
        <w:t xml:space="preserve">Yrysh ! Yrrsh ! Yrrsh ! </w:t>
      </w:r>
      <w:r w:rsidRPr="009A6BD2">
        <w:rPr>
          <w:rFonts w:ascii="Times New Roman" w:hAnsi="Times New Roman" w:cs="Times"/>
        </w:rPr>
        <w:t xml:space="preserve">Cependant, les Kingilli, dans un grand état d'exaltation, faisaient résonner leurs boomerangs et leur chef était encore plus agité que ses compagnons. Une fois que la procession des Uluuru eut fait deux fois le tour du tumulus, ils </w:t>
      </w:r>
      <w:r w:rsidRPr="009A6BD2">
        <w:rPr>
          <w:rFonts w:ascii="Times New Roman" w:hAnsi="Times New Roman" w:cs="Times"/>
        </w:rPr>
        <w:t>quittèrent la position agenouillée, s'assirent et se remirent à chanter ; par moments, le chant tombait, puis reprenait brusquement. Quand le jour commença à poindre, tous sautèrent sur leurs pieds ; les feux qui s'étaient éteints, furent rallumés, les Ulu</w:t>
      </w:r>
      <w:r w:rsidRPr="009A6BD2">
        <w:rPr>
          <w:rFonts w:ascii="Times New Roman" w:hAnsi="Times New Roman" w:cs="Times"/>
        </w:rPr>
        <w:t>uru, pressés par les Kingilli, attaquèrent furieusement le tumulus avec des boomerangs, des lances, des bâtons, en quelques minutes il fut mis en pièces. Les feux moururent et ce fut un profond silence </w:t>
      </w:r>
      <w:r w:rsidRPr="009A6BD2">
        <w:rPr>
          <w:rStyle w:val="Rimandonotaapidipagina"/>
          <w:rFonts w:ascii="Times" w:hAnsi="Times New Roman" w:cs="Times"/>
        </w:rPr>
        <w:footnoteReference w:id="49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Une scène plus violente encore est celle à laquell</w:t>
      </w:r>
      <w:r w:rsidRPr="009A6BD2">
        <w:rPr>
          <w:rFonts w:ascii="Times New Roman" w:hAnsi="Times New Roman" w:cs="Times"/>
        </w:rPr>
        <w:t>e les mêmes observateurs assistèrent pendant les cérémonies du feu, chez les Warramunga.</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Déjà, depuis la tombée de la nuit, toute sorte de proces</w:t>
      </w:r>
      <w:r w:rsidRPr="009A6BD2">
        <w:rPr>
          <w:rFonts w:ascii="Times" w:hAnsi="Times New Roman" w:cs="Times"/>
        </w:rPr>
        <w:softHyphen/>
      </w:r>
      <w:r w:rsidRPr="009A6BD2">
        <w:rPr>
          <w:rFonts w:ascii="Times New Roman" w:hAnsi="Times New Roman" w:cs="Times"/>
        </w:rPr>
        <w:t>sions, de danses, de chants avaient eu lieu à la lumière des flambeaux ; aussi l'efferves</w:t>
      </w:r>
      <w:r w:rsidRPr="009A6BD2">
        <w:rPr>
          <w:rFonts w:ascii="Times" w:hAnsi="Times New Roman" w:cs="Times"/>
        </w:rPr>
        <w:softHyphen/>
      </w:r>
      <w:r w:rsidRPr="009A6BD2">
        <w:rPr>
          <w:rFonts w:ascii="Times New Roman" w:hAnsi="Times New Roman" w:cs="Times"/>
        </w:rPr>
        <w:t>cence générale alla</w:t>
      </w:r>
      <w:r w:rsidRPr="009A6BD2">
        <w:rPr>
          <w:rFonts w:ascii="Times New Roman" w:hAnsi="Times New Roman" w:cs="Times"/>
        </w:rPr>
        <w:t>it-elle croissant. A un moment donné, douze assistants prirent chacun en main une sorte de grande torche enflam</w:t>
      </w:r>
      <w:r w:rsidRPr="009A6BD2">
        <w:rPr>
          <w:rFonts w:ascii="Times" w:hAnsi="Times New Roman" w:cs="Times"/>
        </w:rPr>
        <w:softHyphen/>
      </w:r>
      <w:r w:rsidRPr="009A6BD2">
        <w:rPr>
          <w:rFonts w:ascii="Times New Roman" w:hAnsi="Times New Roman" w:cs="Times"/>
        </w:rPr>
        <w:t>mée et l'un d'eux, tenant la sienne comme une baïonnette, chargea un groupe d'indigènes. Les coups étaient parés au moyen de bâtons et de lances</w:t>
      </w:r>
      <w:r w:rsidRPr="009A6BD2">
        <w:rPr>
          <w:rFonts w:ascii="Times New Roman" w:hAnsi="Times New Roman" w:cs="Times"/>
        </w:rPr>
        <w:t>. Une mêlée générale s'engagea. Les hommes sautaient, se cabraient, poussaient des hurlements sauvages ; les torches brillaient, crépitaient en frappant les têtes et les corps, lançaient des étincelles dans toutes les directions. « La fumée, les torches to</w:t>
      </w:r>
      <w:r w:rsidRPr="009A6BD2">
        <w:rPr>
          <w:rFonts w:ascii="Times New Roman" w:hAnsi="Times New Roman" w:cs="Times"/>
        </w:rPr>
        <w:t>utes flamboyantes, cette pluie d'étincelles, cette masse d'hommes dansant et hurlant, tout cela, disent Spencer et Gillen, formait une scène d'une sauvagerie dont il est impossible de donner une idée avec des mots </w:t>
      </w:r>
      <w:r w:rsidRPr="009A6BD2">
        <w:rPr>
          <w:rStyle w:val="Rimandonotaapidipagina"/>
          <w:rFonts w:ascii="Times" w:hAnsi="Times New Roman" w:cs="Times"/>
        </w:rPr>
        <w:footnoteReference w:id="492"/>
      </w:r>
      <w:r w:rsidRPr="009A6BD2">
        <w:rPr>
          <w:rFonts w:ascii="Times New Roman" w:hAnsi="Times New Roman" w:cs="Times"/>
        </w:rPr>
        <w:t>.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conçoit sans peine que, parvenu à</w:t>
      </w:r>
      <w:r w:rsidRPr="009A6BD2">
        <w:rPr>
          <w:rFonts w:ascii="Times New Roman" w:hAnsi="Times New Roman" w:cs="Times"/>
        </w:rPr>
        <w:t xml:space="preserve"> cet état d'exaltation, l'homme ne se connaisse plus. Se sentant dominé, entraîné par une sorte de pouvoir extérieur qui le fait penser et agir autrement qu'en temps normal, il a naturellement l'impression de n'être plus lui-même. Il lui semble être devenu</w:t>
      </w:r>
      <w:r w:rsidRPr="009A6BD2">
        <w:rPr>
          <w:rFonts w:ascii="Times New Roman" w:hAnsi="Times New Roman" w:cs="Times"/>
        </w:rPr>
        <w:t xml:space="preserve"> un être nouveau : les décorations dont il s'affuble, les sortes de masques dont il se recouvre le visage figurent matériellement cette transformation intérieure, plus encore qu'ils ne contribuent à la déterminer. Et comme, au même moment, tous ses compa</w:t>
      </w:r>
      <w:r w:rsidRPr="009A6BD2">
        <w:rPr>
          <w:rFonts w:ascii="Times" w:hAnsi="Times New Roman" w:cs="Times"/>
        </w:rPr>
        <w:softHyphen/>
      </w:r>
      <w:r w:rsidRPr="009A6BD2">
        <w:rPr>
          <w:rFonts w:ascii="Times New Roman" w:hAnsi="Times New Roman" w:cs="Times"/>
        </w:rPr>
        <w:t>g</w:t>
      </w:r>
      <w:r w:rsidRPr="009A6BD2">
        <w:rPr>
          <w:rFonts w:ascii="Times New Roman" w:hAnsi="Times New Roman" w:cs="Times"/>
        </w:rPr>
        <w:t>nons se sentent transfigurés de la même manière et traduisent leur sentiment par leurs cris, leurs gestes, leur attitude, tout se passe comme s'il était réellement transporté dans un monde spécial, entièrement différent de celui où il vit d'ordinaire, dans</w:t>
      </w:r>
      <w:r w:rsidRPr="009A6BD2">
        <w:rPr>
          <w:rFonts w:ascii="Times New Roman" w:hAnsi="Times New Roman" w:cs="Times"/>
        </w:rPr>
        <w:t xml:space="preserve"> un milieu tout peuplé de forces exceptionnellement intenses, qui l'envahissent et le métamorphosent. Comment des expériences comme celles-là, surtout quand elles se répètent chaque jour pendant des semaines, ne lui laisseraient-elles pas la conviction qu'</w:t>
      </w:r>
      <w:r w:rsidRPr="009A6BD2">
        <w:rPr>
          <w:rFonts w:ascii="Times New Roman" w:hAnsi="Times New Roman" w:cs="Times"/>
        </w:rPr>
        <w:t xml:space="preserve">il existe effectivement deux mondes hétérogènes et incomparables entre eux ? L'un est celui où il traîne languissamment sa vie quotidienne; au contraire, il ne peut pénétrer dans l'autre sans entrer aussitôt en rapports avec des puissances extraordinaires </w:t>
      </w:r>
      <w:r w:rsidRPr="009A6BD2">
        <w:rPr>
          <w:rFonts w:ascii="Times New Roman" w:hAnsi="Times New Roman" w:cs="Times"/>
        </w:rPr>
        <w:t>qui le galvanisent jusqu'à la frénésie. Le premier est le monde profane, le second, celui des choses sacrées.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donc dans ces milieux sociaux effervescents et de cette effervescence même que paraît être née l'idée religieuse. Et ce qui tend à confirme</w:t>
      </w:r>
      <w:r w:rsidRPr="009A6BD2">
        <w:rPr>
          <w:rFonts w:ascii="Times New Roman" w:hAnsi="Times New Roman" w:cs="Times"/>
        </w:rPr>
        <w:t>r que telle en est bien l'origine, c'est que, en Australie, l'activité proprement religieuse est presque tout entière concentrée dans les moments où se tiennent ces assemblées. Certes, il n'est pas de peuple où les grandes solen</w:t>
      </w:r>
      <w:r w:rsidRPr="009A6BD2">
        <w:rPr>
          <w:rFonts w:ascii="Times" w:hAnsi="Times New Roman" w:cs="Times"/>
        </w:rPr>
        <w:softHyphen/>
      </w:r>
      <w:r w:rsidRPr="009A6BD2">
        <w:rPr>
          <w:rFonts w:ascii="Times New Roman" w:hAnsi="Times New Roman" w:cs="Times"/>
        </w:rPr>
        <w:t>nités du culte ne soient pl</w:t>
      </w:r>
      <w:r w:rsidRPr="009A6BD2">
        <w:rPr>
          <w:rFonts w:ascii="Times New Roman" w:hAnsi="Times New Roman" w:cs="Times"/>
        </w:rPr>
        <w:t>us ou moins périodiques ; mais, dans les sociétés plus avan</w:t>
      </w:r>
      <w:r w:rsidRPr="009A6BD2">
        <w:rPr>
          <w:rFonts w:ascii="Times" w:hAnsi="Times New Roman" w:cs="Times"/>
        </w:rPr>
        <w:softHyphen/>
      </w:r>
      <w:r w:rsidRPr="009A6BD2">
        <w:rPr>
          <w:rFonts w:ascii="Times New Roman" w:hAnsi="Times New Roman" w:cs="Times"/>
        </w:rPr>
        <w:t>cées, il n'est, pour ainsi dire, pas de jour où l'on n'adresse aux dieux quelque prestation rituelle. En Australie, au contraire, en dehors des fêtes du clan et de la tribu, le temps est presque t</w:t>
      </w:r>
      <w:r w:rsidRPr="009A6BD2">
        <w:rPr>
          <w:rFonts w:ascii="Times New Roman" w:hAnsi="Times New Roman" w:cs="Times"/>
        </w:rPr>
        <w:t>out entier rempli par des fonctions laïques et profanes. Sans doute, il y a des prohibitions qui doivent être et qui sont observées même pendant ces périodes d'activité temporelle ; il n'est jamais permis de tuer ou de manger librement de l'animal totémiqu</w:t>
      </w:r>
      <w:r w:rsidRPr="009A6BD2">
        <w:rPr>
          <w:rFonts w:ascii="Times New Roman" w:hAnsi="Times New Roman" w:cs="Times"/>
        </w:rPr>
        <w:t>e, là du moins où l'interdiction a conservé sa rigueur première : mais on ne célèbre alors presque aucun rite positif, aucune cérémonie de quelque importance. Celles-ci n'ont lieu qu'au sein des groupes assemblés. La vie pieuse de l'Australien passe donc p</w:t>
      </w:r>
      <w:r w:rsidRPr="009A6BD2">
        <w:rPr>
          <w:rFonts w:ascii="Times New Roman" w:hAnsi="Times New Roman" w:cs="Times"/>
        </w:rPr>
        <w:t>ar des phases successives de complète atonie et, au contraire, d'hyper-excitation, et la vie sociale oseille suivant le même rythme. C'est ce qui met en évidence le lien qui les unit l'une à l'autre tandis que, chez les peuples dits civilisés, la continuit</w:t>
      </w:r>
      <w:r w:rsidRPr="009A6BD2">
        <w:rPr>
          <w:rFonts w:ascii="Times New Roman" w:hAnsi="Times New Roman" w:cs="Times"/>
        </w:rPr>
        <w:t>é relative de l'une et de l'autre masque en partie leurs relations. On peut même se demander si la violence de ce contraste n'était pas nécessaire pour faire jaillir la sensation du sacré sous sa forme première. En se ramassant presque tout entière dans de</w:t>
      </w:r>
      <w:r w:rsidRPr="009A6BD2">
        <w:rPr>
          <w:rFonts w:ascii="Times New Roman" w:hAnsi="Times New Roman" w:cs="Times"/>
        </w:rPr>
        <w:t>s moments déterminés du temps, la vie collective pouvait atteindre, en effet, son maximum d'intensité et d'efficacité et, par suite, donner à l'homme un sentiment plus vif de la double existence qu'il mène et de la double nature à laquelle il participe.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w:t>
      </w:r>
      <w:r w:rsidRPr="009A6BD2">
        <w:rPr>
          <w:rFonts w:ascii="Times New Roman" w:hAnsi="Times New Roman" w:cs="Times"/>
        </w:rPr>
        <w:t>ais l'explication est encore incomplète. Nous avons bien montré comment le clan, par la manière dont il agit sur ses membres, éveille chez eux l'idée de forces extérieures qui le dominent et l'exaltent ; mais il nous reste à rechercher comment il se fait q</w:t>
      </w:r>
      <w:r w:rsidRPr="009A6BD2">
        <w:rPr>
          <w:rFonts w:ascii="Times New Roman" w:hAnsi="Times New Roman" w:cs="Times"/>
        </w:rPr>
        <w:t>ue ces forces ont été pensées sous les espèces du totem, c'est-à-dire sous la figure d'un animal ou d'une plante.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C'est parce que cet animal ou cette plante a donné son nom au clan et lui sert d'emblème. C'est, en effet, une loi connue que les sentiments </w:t>
      </w:r>
      <w:r w:rsidRPr="009A6BD2">
        <w:rPr>
          <w:rFonts w:ascii="Times New Roman" w:hAnsi="Times New Roman" w:cs="Times"/>
        </w:rPr>
        <w:t>éveillés en nous par une chose se communiquent spontanément au symbole qui la représente. Le noir est pour nous le signe du deuil ; aussi nous suggère-t-il des impressions et des idées tristes. Ce transfert de sentiments vient simplement de ce que l'idée d</w:t>
      </w:r>
      <w:r w:rsidRPr="009A6BD2">
        <w:rPr>
          <w:rFonts w:ascii="Times New Roman" w:hAnsi="Times New Roman" w:cs="Times"/>
        </w:rPr>
        <w:t>e la chose et l'idée de son symbole sont étroitement unies dans nos esprits : il en résulte que les émotions provoquées par l'une s'étendent contagieuse</w:t>
      </w:r>
      <w:r w:rsidRPr="009A6BD2">
        <w:rPr>
          <w:rFonts w:ascii="Times" w:hAnsi="Times New Roman" w:cs="Times"/>
        </w:rPr>
        <w:softHyphen/>
      </w:r>
      <w:r w:rsidRPr="009A6BD2">
        <w:rPr>
          <w:rFonts w:ascii="Times New Roman" w:hAnsi="Times New Roman" w:cs="Times"/>
        </w:rPr>
        <w:t xml:space="preserve">ment à l'autre. Mais cette contagion, qui se produit, dans tous les cas, à quelque degré, est beaucoup </w:t>
      </w:r>
      <w:r w:rsidRPr="009A6BD2">
        <w:rPr>
          <w:rFonts w:ascii="Times New Roman" w:hAnsi="Times New Roman" w:cs="Times"/>
        </w:rPr>
        <w:t>plus complète et plus marquée toutes les fois que le symbole est quelque chose de simple, de défini, d'aisément représentable, tandis que la chose est, par ses dimensions, par le nombre de ses parties et la complexité de leur organisation, difficile à embr</w:t>
      </w:r>
      <w:r w:rsidRPr="009A6BD2">
        <w:rPr>
          <w:rFonts w:ascii="Times New Roman" w:hAnsi="Times New Roman" w:cs="Times"/>
        </w:rPr>
        <w:t>asser par la pensée. Car nous ne saurions voir dans une entité abstraite, que nous ne nous représentons que laborieusement et d'une vue confuse, le lieu d'origine des sentiments forts que nous éprouvons. Nous ne pouvons nous les expliquer à nous-même qu'en</w:t>
      </w:r>
      <w:r w:rsidRPr="009A6BD2">
        <w:rPr>
          <w:rFonts w:ascii="Times New Roman" w:hAnsi="Times New Roman" w:cs="Times"/>
        </w:rPr>
        <w:t xml:space="preserve"> les rapportant à un objet concret dont nous sentions vivement la réalité. Si donc la chose même ne remplit pas cette condition, elle ne peut pas servir de point d'attache aux impressions ressenties, bien que ce soit elle qui les ait soulevées. C'est le si</w:t>
      </w:r>
      <w:r w:rsidRPr="009A6BD2">
        <w:rPr>
          <w:rFonts w:ascii="Times New Roman" w:hAnsi="Times New Roman" w:cs="Times"/>
        </w:rPr>
        <w:t>gne alors qui prend sa place ; c'est sur lui qu'on reporte les émotions qu'elle suscite. C'est lui qui est aimé, craint, respecté ; c'est à lui qu'on est reconnaissant ; c'est à lui qu'on se sacrifie. Le soldat qui meurt pour son drapeau, meurt pour sa pat</w:t>
      </w:r>
      <w:r w:rsidRPr="009A6BD2">
        <w:rPr>
          <w:rFonts w:ascii="Times New Roman" w:hAnsi="Times New Roman" w:cs="Times"/>
        </w:rPr>
        <w:t>rie; mais en fait, dans sa conscience, c'est l'idée du drapeau qui est au premier plan. Il arrive même qu'elle détermine directement l'action. Qu'un étendard isolé reste ou non aux mains de l'ennemi, la patrie ne sera pas perdue pour cela, et pourtant le s</w:t>
      </w:r>
      <w:r w:rsidRPr="009A6BD2">
        <w:rPr>
          <w:rFonts w:ascii="Times New Roman" w:hAnsi="Times New Roman" w:cs="Times"/>
        </w:rPr>
        <w:t>oldat se fait tuer pour le reprendre. On perd de vue que le drapeau n'est qu'un signe, qu'il n'a pas de valeur par lui-même, mais ne fait que rappeler la réalité qu'il représente; on le traite comme s'il était lui-même cette réalité.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Or le totem est le dr</w:t>
      </w:r>
      <w:r w:rsidRPr="009A6BD2">
        <w:rPr>
          <w:rFonts w:ascii="Times New Roman" w:hAnsi="Times New Roman" w:cs="Times"/>
        </w:rPr>
        <w:t>apeau du clan. Il est donc naturel que les impressions que le clan éveille dans les consciences individuelles - impressions de dépendance et de vitalité accrue - se rattachent beaucoup plus à l'idée du totem qu'à celle du clan : car le clan est une réalité</w:t>
      </w:r>
      <w:r w:rsidRPr="009A6BD2">
        <w:rPr>
          <w:rFonts w:ascii="Times New Roman" w:hAnsi="Times New Roman" w:cs="Times"/>
        </w:rPr>
        <w:t xml:space="preserve"> trop complexe pour que des intelligences aussi rudimentaires puissent se le représenter nettement dans son unité concrète. D'ailleurs, le primitif ne voit même pas que ces impres</w:t>
      </w:r>
      <w:r w:rsidRPr="009A6BD2">
        <w:rPr>
          <w:rFonts w:ascii="Times" w:hAnsi="Times New Roman" w:cs="Times"/>
        </w:rPr>
        <w:softHyphen/>
      </w:r>
      <w:r w:rsidRPr="009A6BD2">
        <w:rPr>
          <w:rFonts w:ascii="Times New Roman" w:hAnsi="Times New Roman" w:cs="Times"/>
        </w:rPr>
        <w:t>sions lui viennent de la collectivité. Il ne sait pas que le rapprochement d</w:t>
      </w:r>
      <w:r w:rsidRPr="009A6BD2">
        <w:rPr>
          <w:rFonts w:ascii="Times New Roman" w:hAnsi="Times New Roman" w:cs="Times"/>
        </w:rPr>
        <w:t>'un certain nombre d'hommes associés dans une même vie a pour effet de dégager des énergies nouvelles qui transforment chacun d'eux. Tout ce qu'il sent, c'est qu'il est soulevé au-dessus de lui-même et qu'il vit une vie différente de celle qu'il mène d'ord</w:t>
      </w:r>
      <w:r w:rsidRPr="009A6BD2">
        <w:rPr>
          <w:rFonts w:ascii="Times New Roman" w:hAnsi="Times New Roman" w:cs="Times"/>
        </w:rPr>
        <w:t>inaire. Cependant, il faut bien que ces sensations soient rapportées par lui à quelque objet extérieur comme à leur cause. Or, que voit-il autour de lui ? De toutes parts, ce qui s'offre à ses sens, ce qui frappe sont attention, ce sont les multiples image</w:t>
      </w:r>
      <w:r w:rsidRPr="009A6BD2">
        <w:rPr>
          <w:rFonts w:ascii="Times New Roman" w:hAnsi="Times New Roman" w:cs="Times"/>
        </w:rPr>
        <w:t xml:space="preserve">s du totem. C'est le waninga, le nurtunja, qui sont autant de symboles de l'être sacré. Ce sont les </w:t>
      </w:r>
      <w:r w:rsidRPr="009A6BD2">
        <w:rPr>
          <w:rFonts w:ascii="Times New Roman" w:hAnsi="Times New Roman" w:cs="Times"/>
          <w:i/>
          <w:iCs/>
        </w:rPr>
        <w:t xml:space="preserve">bull-roarers, </w:t>
      </w:r>
      <w:r w:rsidRPr="009A6BD2">
        <w:rPr>
          <w:rFonts w:ascii="Times New Roman" w:hAnsi="Times New Roman" w:cs="Times"/>
        </w:rPr>
        <w:t>les churinga sur lesquels sont généralement gravées des combinaisons de lignes qui ont la même signification. Ce sont les décorations qui reco</w:t>
      </w:r>
      <w:r w:rsidRPr="009A6BD2">
        <w:rPr>
          <w:rFonts w:ascii="Times New Roman" w:hAnsi="Times New Roman" w:cs="Times"/>
        </w:rPr>
        <w:t>uvrent les différentes parties de son corps et qui sont autant de marques totémiques. Comment cette image, partout répétée et sous toutes les formes, ne prendrait-elle pas dans les esprits un relief exceptionnel ? Ainsi placée au centre de la scène, elle e</w:t>
      </w:r>
      <w:r w:rsidRPr="009A6BD2">
        <w:rPr>
          <w:rFonts w:ascii="Times New Roman" w:hAnsi="Times New Roman" w:cs="Times"/>
        </w:rPr>
        <w:t>n devient représentat</w:t>
      </w:r>
      <w:r w:rsidRPr="009A6BD2">
        <w:rPr>
          <w:rFonts w:ascii="Times" w:hAnsi="Times New Roman" w:cs="Times"/>
        </w:rPr>
        <w:softHyphen/>
      </w:r>
      <w:r w:rsidRPr="009A6BD2">
        <w:rPr>
          <w:rFonts w:ascii="Times New Roman" w:hAnsi="Times New Roman" w:cs="Times"/>
        </w:rPr>
        <w:t>ive. C'est sur elle que se fixent les sentiments éprouvés, car elle est le seul objet concret auquel ils puissent se rattacher. Elle continue à les rappeler et à les évoquer, alors même que l'assemblée est dissoute ; car elle lui surv</w:t>
      </w:r>
      <w:r w:rsidRPr="009A6BD2">
        <w:rPr>
          <w:rFonts w:ascii="Times New Roman" w:hAnsi="Times New Roman" w:cs="Times"/>
        </w:rPr>
        <w:t>it, gravée sur les instruments du culte, sur les parois des rochers, sur les boucliers, etc. Par elle, les émotions ressenties sont perpétuellement entretenues et ravivées. Tout se passe donc comme si elle les inspirait directement. Il est d'autant plus na</w:t>
      </w:r>
      <w:r w:rsidRPr="009A6BD2">
        <w:rPr>
          <w:rFonts w:ascii="Times New Roman" w:hAnsi="Times New Roman" w:cs="Times"/>
        </w:rPr>
        <w:t>turel de les lui attribuer que, comme elles sont communes au groupe, elles ne peuvent être rapportées qu'à une chose qui lui soit également commune. Or l'emblème totémique est seul à satisfaire à cette condition. Par définition, il est commun à tous. Penda</w:t>
      </w:r>
      <w:r w:rsidRPr="009A6BD2">
        <w:rPr>
          <w:rFonts w:ascii="Times New Roman" w:hAnsi="Times New Roman" w:cs="Times"/>
        </w:rPr>
        <w:t>nt la cérémonie, il est le point de mire de tous les regards. Tandis que les générations changent, il reste identique à lui-même ; il est l'élément permanent de la vie sociale. C'est donc de lui que paraissent émaner les forces mystérieuses avec lesquelles</w:t>
      </w:r>
      <w:r w:rsidRPr="009A6BD2">
        <w:rPr>
          <w:rFonts w:ascii="Times New Roman" w:hAnsi="Times New Roman" w:cs="Times"/>
        </w:rPr>
        <w:t xml:space="preserve"> les hommes se sentent en rapports, et on s'explique ainsi qu'ils aient été amenés à se représenter ces forces sous les traits de l'être, animé ou inanimé, dont le clan porte le nom.</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Ceci posé, nous sommes en état de comprendre tout ce qu'il y a d'essenti</w:t>
      </w:r>
      <w:r w:rsidRPr="009A6BD2">
        <w:rPr>
          <w:rFonts w:ascii="Times New Roman" w:hAnsi="Times New Roman" w:cs="Times"/>
        </w:rPr>
        <w:t>el dans les croyances totémiques.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Puisque la force religieuse n'est autre chose que la force collective et anonyme du clan, et puisque celle-ci n'est représentable aux esprits que sous la forme du totem, l'emblème totémique est comme le corps visible du d</w:t>
      </w:r>
      <w:r w:rsidRPr="009A6BD2">
        <w:rPr>
          <w:rFonts w:ascii="Times New Roman" w:hAnsi="Times New Roman" w:cs="Times"/>
        </w:rPr>
        <w:t>ieu. C'est donc de lui que paraissent émaner les actions, ou bienfaisantes ou redoutées, que le culte a pour objet de provoquer ou de prévenir ; par suite, c'est tout spécialement à lui que s'adressent les rites. Ainsi s'explique que, dans la série des cho</w:t>
      </w:r>
      <w:r w:rsidRPr="009A6BD2">
        <w:rPr>
          <w:rFonts w:ascii="Times New Roman" w:hAnsi="Times New Roman" w:cs="Times"/>
        </w:rPr>
        <w:t>ses sacrées, il occupe le premier rang.</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le clan, comme toute espèce de société, ne peut vivre que dans et par les conscien</w:t>
      </w:r>
      <w:r w:rsidRPr="009A6BD2">
        <w:rPr>
          <w:rFonts w:ascii="Times" w:hAnsi="Times New Roman" w:cs="Times"/>
        </w:rPr>
        <w:softHyphen/>
      </w:r>
      <w:r w:rsidRPr="009A6BD2">
        <w:rPr>
          <w:rFonts w:ascii="Times New Roman" w:hAnsi="Times New Roman" w:cs="Times"/>
        </w:rPr>
        <w:t>ces individuelles qui le composent. Si donc, en tant qu'elle est conçue comme incorporée à l'emblème totémique, la force religi</w:t>
      </w:r>
      <w:r w:rsidRPr="009A6BD2">
        <w:rPr>
          <w:rFonts w:ascii="Times New Roman" w:hAnsi="Times New Roman" w:cs="Times"/>
        </w:rPr>
        <w:t xml:space="preserve">euse apparaît comme extérieure aux individus et comme douée, par rapport à eux, d'une sorte de transcendance, d'un autre côté, comme le clan dont elle est le symbole, elle ne peut se réaliser qu'en eux et par eux ; en ce sens, elle leur est donc immanente </w:t>
      </w:r>
      <w:r w:rsidRPr="009A6BD2">
        <w:rPr>
          <w:rFonts w:ascii="Times New Roman" w:hAnsi="Times New Roman" w:cs="Times"/>
        </w:rPr>
        <w:t>et ils se la représentent nécessairement comme telle. Ils la sentent présente et agissante en eux, puisque c'est elle qui les élève à une vie supérieure. Voilà comment l'homme a cru qu'il y avait en lui un principe comparable à celui qui réside dans le tot</w:t>
      </w:r>
      <w:r w:rsidRPr="009A6BD2">
        <w:rPr>
          <w:rFonts w:ascii="Times New Roman" w:hAnsi="Times New Roman" w:cs="Times"/>
        </w:rPr>
        <w:t>em ; comment, par suite, il s'est attribué un caractère sacré, mais moins marqué que celui de l'emblème. C'est que l'emblème est la source éminente de la vie religieuse ; l'homme n'y parti</w:t>
      </w:r>
      <w:r w:rsidRPr="009A6BD2">
        <w:rPr>
          <w:rFonts w:ascii="Times" w:hAnsi="Times New Roman" w:cs="Times"/>
        </w:rPr>
        <w:softHyphen/>
      </w:r>
      <w:r w:rsidRPr="009A6BD2">
        <w:rPr>
          <w:rFonts w:ascii="Times New Roman" w:hAnsi="Times New Roman" w:cs="Times"/>
        </w:rPr>
        <w:t>cipe qu'indirectement et il en a conscience ; il se rend compte que</w:t>
      </w:r>
      <w:r w:rsidRPr="009A6BD2">
        <w:rPr>
          <w:rFonts w:ascii="Times New Roman" w:hAnsi="Times New Roman" w:cs="Times"/>
        </w:rPr>
        <w:t xml:space="preserve"> la force qui le trans</w:t>
      </w:r>
      <w:r w:rsidRPr="009A6BD2">
        <w:rPr>
          <w:rFonts w:ascii="Times" w:hAnsi="Times New Roman" w:cs="Times"/>
        </w:rPr>
        <w:softHyphen/>
      </w:r>
      <w:r w:rsidRPr="009A6BD2">
        <w:rPr>
          <w:rFonts w:ascii="Times New Roman" w:hAnsi="Times New Roman" w:cs="Times"/>
        </w:rPr>
        <w:t>porte dans le cercle des choses sacrées ne lui est pas inhérente, mais lui vient du dehors.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Pour une autre raison, les animaux ou les végétaux de l'espèce totémique devaient avoir le même caractère, et même à un plus haut degré. Car</w:t>
      </w:r>
      <w:r w:rsidRPr="009A6BD2">
        <w:rPr>
          <w:rFonts w:ascii="Times New Roman" w:hAnsi="Times New Roman" w:cs="Times"/>
        </w:rPr>
        <w:t xml:space="preserve"> si le principe totémique n'est rien autre chose que le clan, c'est le clan pensé sous une forme matérielle que l'emblème figure ; or cette forme est aussi celle de ces êtres concrets dont le clan porte le nom. En raison de cette ressemblance, ils ne pouva</w:t>
      </w:r>
      <w:r w:rsidRPr="009A6BD2">
        <w:rPr>
          <w:rFonts w:ascii="Times New Roman" w:hAnsi="Times New Roman" w:cs="Times"/>
        </w:rPr>
        <w:t>ient pas ne pas éveiller des sentiments analogues à ceux que suscite l'emblème lui-même. Puisque ce dernier est l'objet d'un respect religieux, ils devaient inspirer un respect du même genre et apparaître comme sacrés. Sous des formes extérieures aussi par</w:t>
      </w:r>
      <w:r w:rsidRPr="009A6BD2">
        <w:rPr>
          <w:rFonts w:ascii="Times New Roman" w:hAnsi="Times New Roman" w:cs="Times"/>
        </w:rPr>
        <w:t>faitement identiques, il était impossible que le fidèle ne mît pas des forces de même nature. Voilà comment il est interdit de tuer, de manger l'animal totémique, comment sa chair passe pour avoir des vertus positives que les rites utilisent: c'est qu'il r</w:t>
      </w:r>
      <w:r w:rsidRPr="009A6BD2">
        <w:rPr>
          <w:rFonts w:ascii="Times New Roman" w:hAnsi="Times New Roman" w:cs="Times"/>
        </w:rPr>
        <w:t xml:space="preserve">essemble à l'emblème du clan, c'est-à-dire à sa propre image. Et comme il y ressemble naturellement plus que l'homme, il se trouve aussi d'un rang au-dessus dans la hiérarchie des choses sacrées. Sans doute, il y a entre ces deux êtres une étroite parenté </w:t>
      </w:r>
      <w:r w:rsidRPr="009A6BD2">
        <w:rPr>
          <w:rFonts w:ascii="Times New Roman" w:hAnsi="Times New Roman" w:cs="Times"/>
        </w:rPr>
        <w:t>puisqu'ils communient dans la même essence: tous deux incarnent quelque chose du principe totémique. Seulement, parce que ce principe lui-même est conçu sous une forme animale, l'animal paraît l'incarner plus éminem</w:t>
      </w:r>
      <w:r w:rsidRPr="009A6BD2">
        <w:rPr>
          <w:rFonts w:ascii="Times" w:hAnsi="Times New Roman" w:cs="Times"/>
        </w:rPr>
        <w:softHyphen/>
      </w:r>
      <w:r w:rsidRPr="009A6BD2">
        <w:rPr>
          <w:rFonts w:ascii="Times New Roman" w:hAnsi="Times New Roman" w:cs="Times"/>
        </w:rPr>
        <w:t>ment que l'homme. C'est pourquoi, si l'h</w:t>
      </w:r>
      <w:r w:rsidRPr="009A6BD2">
        <w:rPr>
          <w:rFonts w:ascii="Times New Roman" w:hAnsi="Times New Roman" w:cs="Times"/>
        </w:rPr>
        <w:t>omme le considère et le traite comme un frère, c'est, du moins, comme un frère aîné </w:t>
      </w:r>
      <w:r w:rsidRPr="009A6BD2">
        <w:rPr>
          <w:rStyle w:val="Rimandonotaapidipagina"/>
          <w:rFonts w:ascii="Times" w:hAnsi="Times New Roman" w:cs="Times"/>
        </w:rPr>
        <w:footnoteReference w:id="49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si le principe totémique a son siège d'élection dans une espèce animale ou végétale déterminée, il ne pouvait y rester localisé. Le caractère sacré est, au plus ha</w:t>
      </w:r>
      <w:r w:rsidRPr="009A6BD2">
        <w:rPr>
          <w:rFonts w:ascii="Times New Roman" w:hAnsi="Times New Roman" w:cs="Times"/>
        </w:rPr>
        <w:t>ut degré, contagieux </w:t>
      </w:r>
      <w:r w:rsidRPr="009A6BD2">
        <w:rPr>
          <w:rStyle w:val="Rimandonotaapidipagina"/>
          <w:rFonts w:ascii="Times" w:hAnsi="Times New Roman" w:cs="Times"/>
        </w:rPr>
        <w:footnoteReference w:id="494"/>
      </w:r>
      <w:r w:rsidRPr="009A6BD2">
        <w:rPr>
          <w:rFonts w:ascii="Times New Roman" w:hAnsi="Times New Roman" w:cs="Times"/>
        </w:rPr>
        <w:t xml:space="preserve"> ; il s'étendit donc de l'être totémique à tout ce qui y tient de près ou de loin. Les sentiments religieux qu'inspirait l'animal se communiquèrent aux substances dont il se nourrit et qui servent à faire ou à refaire sa chair et son </w:t>
      </w:r>
      <w:r w:rsidRPr="009A6BD2">
        <w:rPr>
          <w:rFonts w:ascii="Times New Roman" w:hAnsi="Times New Roman" w:cs="Times"/>
        </w:rPr>
        <w:t>sang, aux choses qui lui ressemblent, aux êtres divers avec lesquels il est constamment en rapports. C'est ainsi que peu à peu, aux totems se rattachèrent les sous-totems et que se constituèrent ces systèmes cosmologiques que traduisent les classifications</w:t>
      </w:r>
      <w:r w:rsidRPr="009A6BD2">
        <w:rPr>
          <w:rFonts w:ascii="Times New Roman" w:hAnsi="Times New Roman" w:cs="Times"/>
        </w:rPr>
        <w:t xml:space="preserve"> primitives. Finalement, le monde entier se trouva partagé entre les principes totémiques de la même tribu.</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s'explique maintenant d'où vient l'ambiguïté que pré sentent les forces religieuses quand elles apparaissent dans l'histoire; comment elles sont</w:t>
      </w:r>
      <w:r w:rsidRPr="009A6BD2">
        <w:rPr>
          <w:rFonts w:ascii="Times New Roman" w:hAnsi="Times New Roman" w:cs="Times"/>
        </w:rPr>
        <w:t xml:space="preserve"> physiques en même temps qu'humaines, morales en même temps que matérielles. Ce sont des puissances morales, puisqu'elles sont construites tout entières avec les impressions que cet être moral qu'est la collectivité éveille chez ces autres êtres moraux que</w:t>
      </w:r>
      <w:r w:rsidRPr="009A6BD2">
        <w:rPr>
          <w:rFonts w:ascii="Times New Roman" w:hAnsi="Times New Roman" w:cs="Times"/>
        </w:rPr>
        <w:t xml:space="preserve"> sont les individus ; elles traduisent, non la manière dont les choses physiques affectent nos sens, mais la façon dont la conscience collective agit sur les consciences individuelles. Leur autorité n'est qu'une forme de l'ascen</w:t>
      </w:r>
      <w:r w:rsidRPr="009A6BD2">
        <w:rPr>
          <w:rFonts w:ascii="Times" w:hAnsi="Times New Roman" w:cs="Times"/>
        </w:rPr>
        <w:softHyphen/>
      </w:r>
      <w:r w:rsidRPr="009A6BD2">
        <w:rPr>
          <w:rFonts w:ascii="Times New Roman" w:hAnsi="Times New Roman" w:cs="Times"/>
        </w:rPr>
        <w:t>dant moral que la société e</w:t>
      </w:r>
      <w:r w:rsidRPr="009A6BD2">
        <w:rPr>
          <w:rFonts w:ascii="Times New Roman" w:hAnsi="Times New Roman" w:cs="Times"/>
        </w:rPr>
        <w:t>xerce sur ses membres. Mais d'un autre côté, parce qu'elles sont conçues sous des formes matérielles, elles ne peuvent pas n'être pas regardées comme étroitement parentes des choses matérielles </w:t>
      </w:r>
      <w:r w:rsidRPr="009A6BD2">
        <w:rPr>
          <w:rStyle w:val="Rimandonotaapidipagina"/>
          <w:rFonts w:ascii="Times" w:hAnsi="Times New Roman" w:cs="Times"/>
        </w:rPr>
        <w:footnoteReference w:id="495"/>
      </w:r>
      <w:r w:rsidRPr="009A6BD2">
        <w:rPr>
          <w:rFonts w:ascii="Times New Roman" w:hAnsi="Times New Roman" w:cs="Times"/>
        </w:rPr>
        <w:t>. Elles dominent donc les deux mondes. Elles résident dans le</w:t>
      </w:r>
      <w:r w:rsidRPr="009A6BD2">
        <w:rPr>
          <w:rFonts w:ascii="Times New Roman" w:hAnsi="Times New Roman" w:cs="Times"/>
        </w:rPr>
        <w:t>s hommes ; mais elles sont, en même temps, les principes vitaux des choses. Elles vivifient les consciences et les disciplinent ; mais ce sont elles aussi qui font que les plantes poussent et que les animaux se reproduisent. C'est grâce à cette double natu</w:t>
      </w:r>
      <w:r w:rsidRPr="009A6BD2">
        <w:rPr>
          <w:rFonts w:ascii="Times New Roman" w:hAnsi="Times New Roman" w:cs="Times"/>
        </w:rPr>
        <w:t>re que la religion a pu être comme la matrice oh se sont élaborés tous les principaux germes de la civilisation humaine. Parce qu'elle s'est trouvée envelopper en elle la réalité tout entière, l'univers physique aussi bien que l'univers moral, les forces q</w:t>
      </w:r>
      <w:r w:rsidRPr="009A6BD2">
        <w:rPr>
          <w:rFonts w:ascii="Times New Roman" w:hAnsi="Times New Roman" w:cs="Times"/>
        </w:rPr>
        <w:t>ui meuvent les corps comme celles qui mènent les esprits ont été conçues sous forme religieuse. Voilà comment les techniques et les pratiques les plus diverses, et celles qui assurent le fonctionnement de la vie morale (droit, morale, beaux-arts) et celles</w:t>
      </w:r>
      <w:r w:rsidRPr="009A6BD2">
        <w:rPr>
          <w:rFonts w:ascii="Times New Roman" w:hAnsi="Times New Roman" w:cs="Times"/>
        </w:rPr>
        <w:t xml:space="preserve"> qui servent à la vie matérielle (sciences de la nature, techniques, industrielles), sont, directement ou indirectement, dérivées de la religion </w:t>
      </w:r>
      <w:r w:rsidRPr="009A6BD2">
        <w:rPr>
          <w:rStyle w:val="Rimandonotaapidipagina"/>
          <w:rFonts w:ascii="Times" w:hAnsi="Times New Roman" w:cs="Times"/>
        </w:rPr>
        <w:footnoteReference w:id="496"/>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41" w:name="livre_2_chap_7_4"/>
      <w:r w:rsidRPr="009A6BD2">
        <w:rPr>
          <w:rFonts w:ascii="Times New Roman" w:hAnsi="Times New Roman"/>
        </w:rPr>
        <w:t>IV</w:t>
      </w:r>
    </w:p>
    <w:bookmarkEnd w:id="41"/>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 xml:space="preserve">On a souvent attribué les premières conceptions religieuses à </w:t>
      </w:r>
      <w:r w:rsidRPr="009A6BD2">
        <w:rPr>
          <w:rFonts w:ascii="Times New Roman" w:hAnsi="Times New Roman" w:cs="Times"/>
        </w:rPr>
        <w:t xml:space="preserve">un sentiment de faiblesse et de dépendance, de crainte et d'angoisse qui aurait saisi l'homme quand il entra en rapports avec le monde. Victime d'une sorte de cauchemar dont il aurait été lui-même l'artisan, il se serait cru entouré de puissances hostiles </w:t>
      </w:r>
      <w:r w:rsidRPr="009A6BD2">
        <w:rPr>
          <w:rFonts w:ascii="Times New Roman" w:hAnsi="Times New Roman" w:cs="Times"/>
        </w:rPr>
        <w:t xml:space="preserve">et redoutables que les rites auraient eu pour objet d'apaiser. Nous venons de montrer que les premières religions ont une tout autre origine. La fameuse formule </w:t>
      </w:r>
      <w:r w:rsidRPr="009A6BD2">
        <w:rPr>
          <w:rFonts w:ascii="Times New Roman" w:hAnsi="Times New Roman" w:cs="Times"/>
          <w:i/>
          <w:iCs/>
        </w:rPr>
        <w:t xml:space="preserve">Primus in orbe deos fecit timor </w:t>
      </w:r>
      <w:r w:rsidRPr="009A6BD2">
        <w:rPr>
          <w:rFonts w:ascii="Times New Roman" w:hAnsi="Times New Roman" w:cs="Times"/>
        </w:rPr>
        <w:t>n'est nullement justifiée par les faits. Le primitif n'a pas vu</w:t>
      </w:r>
      <w:r w:rsidRPr="009A6BD2">
        <w:rPr>
          <w:rFonts w:ascii="Times New Roman" w:hAnsi="Times New Roman" w:cs="Times"/>
        </w:rPr>
        <w:t xml:space="preserve"> dans ses dieux des étrangers, des ennemis, des êtres foncièrement et nécessairement malfaisants dont il était obligé de se concilier à tout prix les faveurs, tout au contraire, ce sont plutôt pour lui des amis, des parents, des protecteurs naturels. Ne so</w:t>
      </w:r>
      <w:r w:rsidRPr="009A6BD2">
        <w:rPr>
          <w:rFonts w:ascii="Times New Roman" w:hAnsi="Times New Roman" w:cs="Times"/>
        </w:rPr>
        <w:t>nt-ce pas là les noms qu'il donne aux êtres de l'espèce totémique ? La puissance à laquelle s'adresse le culte, il ne se la représente pas planant très haut au-dessus de lui et l'écrasant de sa supériorité : elle est, au contraire, tout près de lui et elle</w:t>
      </w:r>
      <w:r w:rsidRPr="009A6BD2">
        <w:rPr>
          <w:rFonts w:ascii="Times New Roman" w:hAnsi="Times New Roman" w:cs="Times"/>
        </w:rPr>
        <w:t xml:space="preserve"> lui confère des pouvoirs utiles qu'il ne tient pas de sa nature. jamais, peut-être, la divinité n'a été plus proche de l'homme qu'à ce moment de l'histoire puisqu'elle est présente dans les choses qui peuplent son milieu immé</w:t>
      </w:r>
      <w:r w:rsidRPr="009A6BD2">
        <w:rPr>
          <w:rFonts w:ascii="Times" w:hAnsi="Times New Roman" w:cs="Times"/>
        </w:rPr>
        <w:softHyphen/>
      </w:r>
      <w:r w:rsidRPr="009A6BD2">
        <w:rPr>
          <w:rFonts w:ascii="Times New Roman" w:hAnsi="Times New Roman" w:cs="Times"/>
        </w:rPr>
        <w:t>diat et qu'elle lui est, en p</w:t>
      </w:r>
      <w:r w:rsidRPr="009A6BD2">
        <w:rPr>
          <w:rFonts w:ascii="Times New Roman" w:hAnsi="Times New Roman" w:cs="Times"/>
        </w:rPr>
        <w:t>artie, immanente à lui-même. Ce qui est à la racine du totémisme, ce sont, en définitive, des sentiments de joyeuse confiance plus que de terreur et de compres</w:t>
      </w:r>
      <w:r w:rsidRPr="009A6BD2">
        <w:rPr>
          <w:rFonts w:ascii="Times" w:hAnsi="Times New Roman" w:cs="Times"/>
        </w:rPr>
        <w:softHyphen/>
      </w:r>
      <w:r w:rsidRPr="009A6BD2">
        <w:rPr>
          <w:rFonts w:ascii="Times New Roman" w:hAnsi="Times New Roman" w:cs="Times"/>
        </w:rPr>
        <w:t>sion. Si l'on fait abstraction des rites funéraires - côté sombre de toute religion - le culte t</w:t>
      </w:r>
      <w:r w:rsidRPr="009A6BD2">
        <w:rPr>
          <w:rFonts w:ascii="Times New Roman" w:hAnsi="Times New Roman" w:cs="Times"/>
        </w:rPr>
        <w:t>otémique se célèbre au milieu de chants, de danses, de représentations dramatiques. Les expiations cruelles y sont, nous le verrons, relativement rares ; même les mutilations obliga</w:t>
      </w:r>
      <w:r w:rsidRPr="009A6BD2">
        <w:rPr>
          <w:rFonts w:ascii="Times" w:hAnsi="Times New Roman" w:cs="Times"/>
        </w:rPr>
        <w:softHyphen/>
      </w:r>
      <w:r w:rsidRPr="009A6BD2">
        <w:rPr>
          <w:rFonts w:ascii="Times New Roman" w:hAnsi="Times New Roman" w:cs="Times"/>
        </w:rPr>
        <w:t>toi</w:t>
      </w:r>
      <w:r w:rsidRPr="009A6BD2">
        <w:rPr>
          <w:rFonts w:ascii="Times" w:hAnsi="Times New Roman" w:cs="Times"/>
        </w:rPr>
        <w:softHyphen/>
      </w:r>
      <w:r w:rsidRPr="009A6BD2">
        <w:rPr>
          <w:rFonts w:ascii="Times New Roman" w:hAnsi="Times New Roman" w:cs="Times"/>
        </w:rPr>
        <w:t xml:space="preserve">res et douloureuses de l'initiation n'ont pas ce caractère. Les dieux </w:t>
      </w:r>
      <w:r w:rsidRPr="009A6BD2">
        <w:rPr>
          <w:rFonts w:ascii="Times New Roman" w:hAnsi="Times New Roman" w:cs="Times"/>
        </w:rPr>
        <w:t>jaloux et terribles n'apparaissent que plus tard dans l'évolution religieuse. C'est que les sociétés primitives ne sont pas des sortes de Leviathan qui accablent l'homme de l'énormité de leur pouvoir et le soumettent à une dure discipline </w:t>
      </w:r>
      <w:r w:rsidRPr="009A6BD2">
        <w:rPr>
          <w:rStyle w:val="Rimandonotaapidipagina"/>
          <w:rFonts w:ascii="Times" w:hAnsi="Times New Roman" w:cs="Times"/>
        </w:rPr>
        <w:footnoteReference w:id="497"/>
      </w:r>
      <w:r w:rsidRPr="009A6BD2">
        <w:rPr>
          <w:rFonts w:ascii="Times New Roman" w:hAnsi="Times New Roman" w:cs="Times"/>
        </w:rPr>
        <w:t xml:space="preserve"> ; il se donne à</w:t>
      </w:r>
      <w:r w:rsidRPr="009A6BD2">
        <w:rPr>
          <w:rFonts w:ascii="Times New Roman" w:hAnsi="Times New Roman" w:cs="Times"/>
        </w:rPr>
        <w:t xml:space="preserve"> elles spontanément et sans résistance. Comme l'âme sociale n'est faite alors que d'un petit nombre d'idées et de sentiments, elle s'incarne aisément tout entière dans chaque conscience individuelle. L'individu la porte toute en soi ; elle fait partie de l</w:t>
      </w:r>
      <w:r w:rsidRPr="009A6BD2">
        <w:rPr>
          <w:rFonts w:ascii="Times New Roman" w:hAnsi="Times New Roman" w:cs="Times"/>
        </w:rPr>
        <w:t>ui-même, et par suite, quand il cède aux impulsions qu'elle lui imprime, il ne croit pas céder à une contrainte, mais aller là où l'appelle sa nature </w:t>
      </w:r>
      <w:r w:rsidRPr="009A6BD2">
        <w:rPr>
          <w:rStyle w:val="Rimandonotaapidipagina"/>
          <w:rFonts w:ascii="Times" w:hAnsi="Times New Roman" w:cs="Times"/>
        </w:rPr>
        <w:footnoteReference w:id="49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Or cette manière d'entendre la genèse de la pensée religieuse échappe aux objections que soulèvent les</w:t>
      </w:r>
      <w:r w:rsidRPr="009A6BD2">
        <w:rPr>
          <w:rFonts w:ascii="Times New Roman" w:hAnsi="Times New Roman" w:cs="Times"/>
        </w:rPr>
        <w:t xml:space="preserve"> théories classiques les plus accréditées.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Nous avons vu comment naturistes et animistes prétendaient construire la notion d'êtres sacrés avec les sensations provoquées en nous par divers phénomènes d'ordre physique ou biologique, et nous avons montré ce </w:t>
      </w:r>
      <w:r w:rsidRPr="009A6BD2">
        <w:rPr>
          <w:rFonts w:ascii="Times New Roman" w:hAnsi="Times New Roman" w:cs="Times"/>
        </w:rPr>
        <w:t>que cette entreprise avait d'impossible et même de contradictoire. Rien ne vient de rien. Les impressions qu'éveille en nous le monde physique ne sauraient, par définition, rien contenir qui dépasse ce monde. Avec du sensible, on ne peut faire que du sensi</w:t>
      </w:r>
      <w:r w:rsidRPr="009A6BD2">
        <w:rPr>
          <w:rFonts w:ascii="Times New Roman" w:hAnsi="Times New Roman" w:cs="Times"/>
        </w:rPr>
        <w:t>ble ; avec de l'étendu, on ne peut faire de l'inétendu. Aussi, pour pouvoir expliquer comment la notion du sacré a pu se former dans ces conditions, la plupart de ces théoriciens étaient-ils obligés d'admettre que l'homme a superposé à la réalité, telle qu</w:t>
      </w:r>
      <w:r w:rsidRPr="009A6BD2">
        <w:rPr>
          <w:rFonts w:ascii="Times New Roman" w:hAnsi="Times New Roman" w:cs="Times"/>
        </w:rPr>
        <w:t>'elle est donnée à l'observation, un monde irréel, construit tout entier soit avec les images fantasma</w:t>
      </w:r>
      <w:r w:rsidRPr="009A6BD2">
        <w:rPr>
          <w:rFonts w:ascii="Times" w:hAnsi="Times New Roman" w:cs="Times"/>
        </w:rPr>
        <w:softHyphen/>
      </w:r>
      <w:r w:rsidRPr="009A6BD2">
        <w:rPr>
          <w:rFonts w:ascii="Times New Roman" w:hAnsi="Times New Roman" w:cs="Times"/>
        </w:rPr>
        <w:t>tiques qui agitent son esprit pendant le rêve, soit avec les aberrations, souvent monstrueuses, que l'imagination mythologique aurait enfantées sous l'in</w:t>
      </w:r>
      <w:r w:rsidRPr="009A6BD2">
        <w:rPr>
          <w:rFonts w:ascii="Times New Roman" w:hAnsi="Times New Roman" w:cs="Times"/>
        </w:rPr>
        <w:t>fluence prestigieuse, mais trom</w:t>
      </w:r>
      <w:r w:rsidRPr="009A6BD2">
        <w:rPr>
          <w:rFonts w:ascii="Times" w:hAnsi="Times New Roman" w:cs="Times"/>
        </w:rPr>
        <w:softHyphen/>
      </w:r>
      <w:r w:rsidRPr="009A6BD2">
        <w:rPr>
          <w:rFonts w:ascii="Times New Roman" w:hAnsi="Times New Roman" w:cs="Times"/>
        </w:rPr>
        <w:t>peuse, du langage. Mais alors il devenait incompréhensible que l'humanité se fût, pendant des siècles, obstinée dans des erreurs dont l'expérience eût dû très vite lui donner le sentiment.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 notre point de vue, ces difficu</w:t>
      </w:r>
      <w:r w:rsidRPr="009A6BD2">
        <w:rPr>
          <w:rFonts w:ascii="Times New Roman" w:hAnsi="Times New Roman" w:cs="Times"/>
        </w:rPr>
        <w:t>ltés disparaissent. La religion cesse d'être je ne sais quelle inexplicable hallucination pour prendre pied dans la réalité. Nous pouvons dire en effet, que le fidèle ne s'abuse pas quand il croit à l'existence d'une puissance morale dont il dépend et dont</w:t>
      </w:r>
      <w:r w:rsidRPr="009A6BD2">
        <w:rPr>
          <w:rFonts w:ascii="Times New Roman" w:hAnsi="Times New Roman" w:cs="Times"/>
        </w:rPr>
        <w:t xml:space="preserve"> il tient le meilleur de lui-même : cette puissance existe, c'est la société. Quand l'Australien est transporté au-dessus de lui-même, quand il sent affluer en lui une vie dont l'intensité le surprend, il n'est pas dupe d'une illusion; cette exaltation est</w:t>
      </w:r>
      <w:r w:rsidRPr="009A6BD2">
        <w:rPr>
          <w:rFonts w:ascii="Times New Roman" w:hAnsi="Times New Roman" w:cs="Times"/>
        </w:rPr>
        <w:t xml:space="preserve"> réelle et elle est réellement le produit de forces extérieures et supérieures à l'individu. Sans doute, il se trompe quand il croit que ce rehaussement de vitalité est l’œuvre d'un pouvoir à forme d'animal ou de plante. Mais l'erreur porte uniquement sur </w:t>
      </w:r>
      <w:r w:rsidRPr="009A6BD2">
        <w:rPr>
          <w:rFonts w:ascii="Times New Roman" w:hAnsi="Times New Roman" w:cs="Times"/>
        </w:rPr>
        <w:t>la lettre du symbole au moyen duquel cet être est représenté aux esprits, sur l'aspect de son existence. Derrière ces figures et ces métaphores, ou plus grossières on plus raffinées, il y a une réalité concrète et vivante. La reli</w:t>
      </w:r>
      <w:r w:rsidRPr="009A6BD2">
        <w:rPr>
          <w:rFonts w:ascii="Times" w:hAnsi="Times New Roman" w:cs="Times"/>
        </w:rPr>
        <w:softHyphen/>
      </w:r>
      <w:r w:rsidRPr="009A6BD2">
        <w:rPr>
          <w:rFonts w:ascii="Times New Roman" w:hAnsi="Times New Roman" w:cs="Times"/>
        </w:rPr>
        <w:t xml:space="preserve">gion prend ainsi un sens </w:t>
      </w:r>
      <w:r w:rsidRPr="009A6BD2">
        <w:rPr>
          <w:rFonts w:ascii="Times New Roman" w:hAnsi="Times New Roman" w:cs="Times"/>
        </w:rPr>
        <w:t>et une raison que le rationaliste le plus intransigeant ne peut pas mécon</w:t>
      </w:r>
      <w:r w:rsidRPr="009A6BD2">
        <w:rPr>
          <w:rFonts w:ascii="Times" w:hAnsi="Times New Roman" w:cs="Times"/>
        </w:rPr>
        <w:softHyphen/>
      </w:r>
      <w:r w:rsidRPr="009A6BD2">
        <w:rPr>
          <w:rFonts w:ascii="Times New Roman" w:hAnsi="Times New Roman" w:cs="Times"/>
        </w:rPr>
        <w:t>naître. Son objet principal n'est pas de donner à l'homme une représentation de l'uni</w:t>
      </w:r>
      <w:r w:rsidRPr="009A6BD2">
        <w:rPr>
          <w:rFonts w:ascii="Times" w:hAnsi="Times New Roman" w:cs="Times"/>
        </w:rPr>
        <w:softHyphen/>
      </w:r>
      <w:r w:rsidRPr="009A6BD2">
        <w:rPr>
          <w:rFonts w:ascii="Times New Roman" w:hAnsi="Times New Roman" w:cs="Times"/>
        </w:rPr>
        <w:t xml:space="preserve">vers physique; car si c'était là sa tâche essentielle, on ne comprendrait pas comment elle a pu </w:t>
      </w:r>
      <w:r w:rsidRPr="009A6BD2">
        <w:rPr>
          <w:rFonts w:ascii="Times New Roman" w:hAnsi="Times New Roman" w:cs="Times"/>
        </w:rPr>
        <w:t>se maintenir puisque, sous ce rapport, elle n'est guère qu'un tissu d'erreurs. Mais elle est avant tout, un système de notions au moyen desquelles les individus se représentent la société dont ils sont membres, et les rapports, obscurs mais intimes, qu'ils</w:t>
      </w:r>
      <w:r w:rsidRPr="009A6BD2">
        <w:rPr>
          <w:rFonts w:ascii="Times New Roman" w:hAnsi="Times New Roman" w:cs="Times"/>
        </w:rPr>
        <w:t xml:space="preserve"> soutiennent avec elle. Tel est son rôle primordial ; et, pour être métaphorique et symbolique, cette représentation n'est pourtant pas infidèle. Elle traduit, au contraire, tout ce qu'il y a d'essentiel dans les relations qu'il s'agit d'exprimer : car il </w:t>
      </w:r>
      <w:r w:rsidRPr="009A6BD2">
        <w:rPr>
          <w:rFonts w:ascii="Times New Roman" w:hAnsi="Times New Roman" w:cs="Times"/>
        </w:rPr>
        <w:t>est vrai d'une vérité éternelle qu'il existe en dehors de nous quelque chose de plus grand que nous, et avec quoi nous communiquons.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pourquoi on peut être assuré par avance que les pratiques du culte, quelles qu'elles puissent être, sont autre chose</w:t>
      </w:r>
      <w:r w:rsidRPr="009A6BD2">
        <w:rPr>
          <w:rFonts w:ascii="Times New Roman" w:hAnsi="Times New Roman" w:cs="Times"/>
        </w:rPr>
        <w:t xml:space="preserve"> que des mouvements sans portée et des gestes sans efficacité. Par cela seul qu'elles ont pour fonction apparente de resserrer les liens qui attachent le fidèle à son dieu, du même coup elles resserrent réellement les liens qui unissent l'individu à la soc</w:t>
      </w:r>
      <w:r w:rsidRPr="009A6BD2">
        <w:rPr>
          <w:rFonts w:ascii="Times New Roman" w:hAnsi="Times New Roman" w:cs="Times"/>
        </w:rPr>
        <w:t xml:space="preserve">iété dont il est membre, puisque le dieu n'est que l'expression figurée de la société. On conçoit même que la vérité fondamentale que contenait ainsi la religion ait pu suffire à compenser les erreurs secondaires qu'elle impliquait presque nécessairement, </w:t>
      </w:r>
      <w:r w:rsidRPr="009A6BD2">
        <w:rPr>
          <w:rFonts w:ascii="Times New Roman" w:hAnsi="Times New Roman" w:cs="Times"/>
        </w:rPr>
        <w:t>et que, par suite, les fidèles aient été empêchés de s'en détacher, malgré les mécomptes qui devaient résulter de ces erreurs. Sans doute, il a dû arriver le plus souvent que les recettes qu'elle recommandait à l'homme d'employer pour agir sur les choses s</w:t>
      </w:r>
      <w:r w:rsidRPr="009A6BD2">
        <w:rPr>
          <w:rFonts w:ascii="Times New Roman" w:hAnsi="Times New Roman" w:cs="Times"/>
        </w:rPr>
        <w:t>e sont trouvées inefficaces. Mais ces échecs ne pouvaient avoir d'influence profonde parce qu'ils n'atteignaient pas la religion dans ses principes </w:t>
      </w:r>
      <w:r w:rsidRPr="009A6BD2">
        <w:rPr>
          <w:rStyle w:val="Rimandonotaapidipagina"/>
          <w:rFonts w:ascii="Times" w:hAnsi="Times New Roman" w:cs="Times"/>
        </w:rPr>
        <w:footnoteReference w:id="49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objectera cependant que, même dans cette hypothèse, la religion reste le produit d'un certain délire.</w:t>
      </w:r>
      <w:r w:rsidRPr="009A6BD2">
        <w:rPr>
          <w:rFonts w:ascii="Times New Roman" w:hAnsi="Times New Roman" w:cs="Times"/>
        </w:rPr>
        <w:t xml:space="preserve"> Quel autre nom, en effet, peut-on donner à l'éclat dans lequel se trouvent les hommes quand, par suite d'une effervescence collective, ils se croient transportés dans un monde entièrement différent de celui qu'ils ont sous les yeux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b/>
        <w:t>Il est bien vrai qu</w:t>
      </w:r>
      <w:r w:rsidRPr="009A6BD2">
        <w:rPr>
          <w:rFonts w:ascii="Times New Roman" w:hAnsi="Times New Roman" w:cs="Times"/>
        </w:rPr>
        <w:t>e la vie religieuse ne peut pas atteindre un certain degré d'intensité sans impliquer une exaltation psychique qui n'est pas sans rapport avec le délire. C'est pour cette raison que les prophètes, les fondateurs de religions, les grands saints, en un mot l</w:t>
      </w:r>
      <w:r w:rsidRPr="009A6BD2">
        <w:rPr>
          <w:rFonts w:ascii="Times New Roman" w:hAnsi="Times New Roman" w:cs="Times"/>
        </w:rPr>
        <w:t>es hommes dont la conscience religieuse est exceptionnellement sensible, présentent très souvent des signes d'une nervosité excessive et même proprement pathologique: ces tares physiologiques les prédestinaient aux grands rôles religieux. L'emploi rituel d</w:t>
      </w:r>
      <w:r w:rsidRPr="009A6BD2">
        <w:rPr>
          <w:rFonts w:ascii="Times New Roman" w:hAnsi="Times New Roman" w:cs="Times"/>
        </w:rPr>
        <w:t>es liqueurs intoxicantes s'explique de la même manière </w:t>
      </w:r>
      <w:r w:rsidRPr="009A6BD2">
        <w:rPr>
          <w:rStyle w:val="Rimandonotaapidipagina"/>
          <w:rFonts w:ascii="Times" w:hAnsi="Times New Roman" w:cs="Times"/>
        </w:rPr>
        <w:footnoteReference w:id="500"/>
      </w:r>
      <w:r w:rsidRPr="009A6BD2">
        <w:rPr>
          <w:rFonts w:ascii="Times New Roman" w:hAnsi="Times New Roman" w:cs="Times"/>
        </w:rPr>
        <w:t xml:space="preserve">. Ce n'est certainement pas que la foi ardente soit nécessairement un fruit de l'ivresse et des troubles mentaux qui l'accompagnent; mais, comme l'expérience eut vite averti les peuples des analogies </w:t>
      </w:r>
      <w:r w:rsidRPr="009A6BD2">
        <w:rPr>
          <w:rFonts w:ascii="Times New Roman" w:hAnsi="Times New Roman" w:cs="Times"/>
        </w:rPr>
        <w:t>qu'il y avait entre la mentalité du délirant et celle du voyant, on chercha à frayer les voies à la seconde en suscitant artificiellement la première. Mais si, pour cette raison, on peut dire que la religion ne va pas sans un certain délire, il faut ajoute</w:t>
      </w:r>
      <w:r w:rsidRPr="009A6BD2">
        <w:rPr>
          <w:rFonts w:ascii="Times New Roman" w:hAnsi="Times New Roman" w:cs="Times"/>
        </w:rPr>
        <w:t xml:space="preserve">r que ce délire, s'il a les causes que nous lui avons attribuées, est </w:t>
      </w:r>
      <w:r w:rsidRPr="009A6BD2">
        <w:rPr>
          <w:rFonts w:ascii="Times New Roman" w:hAnsi="Times New Roman" w:cs="Times"/>
          <w:i/>
          <w:iCs/>
        </w:rPr>
        <w:t xml:space="preserve">bien fondé. </w:t>
      </w:r>
      <w:r w:rsidRPr="009A6BD2">
        <w:rPr>
          <w:rFonts w:ascii="Times New Roman" w:hAnsi="Times New Roman" w:cs="Times"/>
        </w:rPr>
        <w:t>Les images dont il est fait ne sont pas de pures illusions comme celles que naturistes et animistes mettent à la base de la religion ; elles correspondent à quelque chose dan</w:t>
      </w:r>
      <w:r w:rsidRPr="009A6BD2">
        <w:rPr>
          <w:rFonts w:ascii="Times New Roman" w:hAnsi="Times New Roman" w:cs="Times"/>
        </w:rPr>
        <w:t xml:space="preserve">s le réel. Sans doute, il est dans la nature des forces morales qu'elles expriment de ne pouvoir affecter avec quelque énergie l'esprit humain sans le mettre hors de lui-même, sans le plonger dans un état que l'on peut qualifier d'extatique, pourvu que le </w:t>
      </w:r>
      <w:r w:rsidRPr="009A6BD2">
        <w:rPr>
          <w:rFonts w:ascii="Times New Roman" w:hAnsi="Times New Roman" w:cs="Times"/>
        </w:rPr>
        <w:t>mot soit pris dans son sens étymologique: mais il ne s'ensuit nullement qu'elles soient imaginaires. Tout au contraire, l'agitation mentale qu'elles suscitent atteste leur réalité. C'est simplement une nouvelle preuve qu'une vie sociale très intense fait t</w:t>
      </w:r>
      <w:r w:rsidRPr="009A6BD2">
        <w:rPr>
          <w:rFonts w:ascii="Times New Roman" w:hAnsi="Times New Roman" w:cs="Times"/>
        </w:rPr>
        <w:t>oujours à l'organisme, comme à la cons</w:t>
      </w:r>
      <w:r w:rsidRPr="009A6BD2">
        <w:rPr>
          <w:rFonts w:ascii="Times" w:hAnsi="Times New Roman" w:cs="Times"/>
        </w:rPr>
        <w:softHyphen/>
      </w:r>
      <w:r w:rsidRPr="009A6BD2">
        <w:rPr>
          <w:rFonts w:ascii="Times New Roman" w:hAnsi="Times New Roman" w:cs="Times"/>
        </w:rPr>
        <w:t>cience de l'individu, une sorte de violence qui en trouble le fonctionnement normal. Aussi ne peut-elle durer qu'un temps très limité </w:t>
      </w:r>
      <w:r w:rsidRPr="009A6BD2">
        <w:rPr>
          <w:rStyle w:val="Rimandonotaapidipagina"/>
          <w:rFonts w:ascii="Times" w:hAnsi="Times New Roman" w:cs="Times"/>
        </w:rPr>
        <w:footnoteReference w:id="50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Au reste, si l'on appelle délire tout état dans lequel l'esprit ajoute aux donn</w:t>
      </w:r>
      <w:r w:rsidRPr="009A6BD2">
        <w:rPr>
          <w:rFonts w:ascii="Times New Roman" w:hAnsi="Times New Roman" w:cs="Times"/>
        </w:rPr>
        <w:t xml:space="preserve">ées immédiates de l'intuition sensible et projette ses sentiments et ses impressions dans les choses, il n'y a peut-être pas de représentation collective qui, en un sens, ne soit délirante; les croyances religieuses ne sont qu'un cas particulier d'une loi </w:t>
      </w:r>
      <w:r w:rsidRPr="009A6BD2">
        <w:rPr>
          <w:rFonts w:ascii="Times New Roman" w:hAnsi="Times New Roman" w:cs="Times"/>
        </w:rPr>
        <w:t>très générale. Le milieu social tout entier nous apparaît comme peuplé de forces qui, en réalité, n'existent que dans notre esprit. On sait ce que le drapeau est pour le soldat ; en soi, ce n'est qu'un chiffon de toile. Le sang humain n'est qu'un liquide o</w:t>
      </w:r>
      <w:r w:rsidRPr="009A6BD2">
        <w:rPr>
          <w:rFonts w:ascii="Times New Roman" w:hAnsi="Times New Roman" w:cs="Times"/>
        </w:rPr>
        <w:t>rganique; cependant, aujourd'hui encore, nous ne pouvons le voir couler sans éprouver une violente émotion que ses propriétés physico-chimiques ne sauraient expliquer. L'homme n'est rien autre chose, au point de vue physique, qu'un système de cellu</w:t>
      </w:r>
      <w:r w:rsidRPr="009A6BD2">
        <w:rPr>
          <w:rFonts w:ascii="Times" w:hAnsi="Times New Roman" w:cs="Times"/>
        </w:rPr>
        <w:softHyphen/>
      </w:r>
      <w:r w:rsidRPr="009A6BD2">
        <w:rPr>
          <w:rFonts w:ascii="Times New Roman" w:hAnsi="Times New Roman" w:cs="Times"/>
        </w:rPr>
        <w:t>les, au</w:t>
      </w:r>
      <w:r w:rsidRPr="009A6BD2">
        <w:rPr>
          <w:rFonts w:ascii="Times New Roman" w:hAnsi="Times New Roman" w:cs="Times"/>
        </w:rPr>
        <w:t xml:space="preserve"> point de vue mental, qu'un système de représentations : sous l'un ou l'autre rapport, il ne diffère qu'en degrés de l'animal. Et pourtant, la société le conçoit et nous oblige à le concevoir comme investi d'un caractère </w:t>
      </w:r>
      <w:r w:rsidRPr="009A6BD2">
        <w:rPr>
          <w:rFonts w:ascii="Times New Roman" w:hAnsi="Times New Roman" w:cs="Times"/>
          <w:i/>
          <w:iCs/>
        </w:rPr>
        <w:t>sui generis</w:t>
      </w:r>
      <w:r w:rsidRPr="009A6BD2">
        <w:rPr>
          <w:rFonts w:ascii="Times New Roman" w:hAnsi="Times New Roman" w:cs="Times"/>
        </w:rPr>
        <w:t xml:space="preserve"> qui l'isole, qui tient </w:t>
      </w:r>
      <w:r w:rsidRPr="009A6BD2">
        <w:rPr>
          <w:rFonts w:ascii="Times New Roman" w:hAnsi="Times New Roman" w:cs="Times"/>
        </w:rPr>
        <w:t>à distance les empiétements téméraires, qui, en un mot, impose le respect. Cette dignité qui le met hors de pair nous apparaît comme un de ses attributs distinctifs, bien qu'il soit impossible de rien trouver dans la nature empirique de l'homme qui la fond</w:t>
      </w:r>
      <w:r w:rsidRPr="009A6BD2">
        <w:rPr>
          <w:rFonts w:ascii="Times New Roman" w:hAnsi="Times New Roman" w:cs="Times"/>
        </w:rPr>
        <w:t>e. Un timbre-poste oblitéré peut valoir une fortune ; il est évident que cette valeur n'est aucunement impliquée dans ses propriétés naturelles. Sans doute, en un sens, notre représentation du monde extérieur n'est, elle aussi, qu'un tissu d'hallucinations</w:t>
      </w:r>
      <w:r w:rsidRPr="009A6BD2">
        <w:rPr>
          <w:rFonts w:ascii="Times New Roman" w:hAnsi="Times New Roman" w:cs="Times"/>
        </w:rPr>
        <w:t>; car les odeurs, les saveurs, les couleurs que nous mettons dans les corps n'y sont pas, ou, du moins, n'y sont pas telles que nous les percevons. Cependant, nos sensations olfactives, gustatives, visuelles ne laissent pas de correspondre à certains états</w:t>
      </w:r>
      <w:r w:rsidRPr="009A6BD2">
        <w:rPr>
          <w:rFonts w:ascii="Times New Roman" w:hAnsi="Times New Roman" w:cs="Times"/>
        </w:rPr>
        <w:t xml:space="preserve"> objectifs des choses représentées ; elles expriment à leur façon les propriétés ou de particules matérielles ou de mouvements de l'éther qui ont bien leur origine dans les corps que nous percevons comme odorants, sapides ou colorés. Mais les représentatio</w:t>
      </w:r>
      <w:r w:rsidRPr="009A6BD2">
        <w:rPr>
          <w:rFonts w:ascii="Times New Roman" w:hAnsi="Times New Roman" w:cs="Times"/>
        </w:rPr>
        <w:t>ns collectives attribuent très souvent aux choses auxquelles elles se rapportent des propriétés qui n'y existent sous aucune forme ni à aucun degré. De l'objet le plus vulgaire, elles peuvent faire un être sacré et très puissant.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Et cependant, bien que pu</w:t>
      </w:r>
      <w:r w:rsidRPr="009A6BD2">
        <w:rPr>
          <w:rFonts w:ascii="Times New Roman" w:hAnsi="Times New Roman" w:cs="Times"/>
        </w:rPr>
        <w:t xml:space="preserve">rement idéaux, les pouvoirs qui lui sont ainsi conférés agissent comme s'ils étaient réels ; ils déterminent la conduite de l'homme avec la même nécessité que des forces physiques. L'Arunta qui s'est correctement frotté avec son churinga se sent plus fort </w:t>
      </w:r>
      <w:r w:rsidRPr="009A6BD2">
        <w:rPr>
          <w:rFonts w:ascii="Times New Roman" w:hAnsi="Times New Roman" w:cs="Times"/>
        </w:rPr>
        <w:t>; il est plus fort. S'il a mangé de la chair d'un animal qui, tout en étant parfaitement sain, lui est pourtant interdit, il se sentira malade et pourra en mourir. Le soldat qui tombe en défendant son drapeau ne croit certes pas s'être sacrifié à un morcea</w:t>
      </w:r>
      <w:r w:rsidRPr="009A6BD2">
        <w:rPr>
          <w:rFonts w:ascii="Times New Roman" w:hAnsi="Times New Roman" w:cs="Times"/>
        </w:rPr>
        <w:t xml:space="preserve">u d'étoffe. C'est que la pensée sociale, à cause de l'autorité impérative qui est en elle, a une efficacité que ne saurait avoir la pensée individuelle; par l'action qu'elle exerce sur nos esprits, elle peut nous faire voir les choses sous le jour qui lui </w:t>
      </w:r>
      <w:r w:rsidRPr="009A6BD2">
        <w:rPr>
          <w:rFonts w:ascii="Times New Roman" w:hAnsi="Times New Roman" w:cs="Times"/>
        </w:rPr>
        <w:t>convient; elle ajoute au réel ou elle en retranche, selon les circonstances. Il y a ainsi une région de la nature où la formule de l'idéalisme s'applique presque à la lettre : c'est le règne social. L'idée y fait, beaucoup plus qu'ailleurs, la réalité. San</w:t>
      </w:r>
      <w:r w:rsidRPr="009A6BD2">
        <w:rPr>
          <w:rFonts w:ascii="Times New Roman" w:hAnsi="Times New Roman" w:cs="Times"/>
        </w:rPr>
        <w:t>s doute, même dans ce cas, l'idéalisme n'est pas vrai sans tempérament. Nous ne pouvons jamais échapper à la dualité de notre nature et nous affranchir complètement des nécessités physiques : pour nous exprimer à nous-même nos propres idées, nous avons bes</w:t>
      </w:r>
      <w:r w:rsidRPr="009A6BD2">
        <w:rPr>
          <w:rFonts w:ascii="Times New Roman" w:hAnsi="Times New Roman" w:cs="Times"/>
        </w:rPr>
        <w:t>oin, comme nous le montrerons tout à l'heure, de les fixer sur des choses matérielles qui les symbolisent. Mais ici, la part de la matière est réduite au minimum. L'objet qui sert de support à l'idée est bien peu de chose, comparé à la superstructure idéal</w:t>
      </w:r>
      <w:r w:rsidRPr="009A6BD2">
        <w:rPr>
          <w:rFonts w:ascii="Times New Roman" w:hAnsi="Times New Roman" w:cs="Times"/>
        </w:rPr>
        <w:t>e sous laquelle il disparaît et, de plus, il n'est pour rien dans cette superstructure. Voilà en quoi consiste le pseudo-délire que l'on ren</w:t>
      </w:r>
      <w:r w:rsidRPr="009A6BD2">
        <w:rPr>
          <w:rFonts w:ascii="Times" w:hAnsi="Times New Roman" w:cs="Times"/>
        </w:rPr>
        <w:softHyphen/>
      </w:r>
      <w:r w:rsidRPr="009A6BD2">
        <w:rPr>
          <w:rFonts w:ascii="Times New Roman" w:hAnsi="Times New Roman" w:cs="Times"/>
        </w:rPr>
        <w:t>con</w:t>
      </w:r>
      <w:r w:rsidRPr="009A6BD2">
        <w:rPr>
          <w:rFonts w:ascii="Times" w:hAnsi="Times New Roman" w:cs="Times"/>
        </w:rPr>
        <w:softHyphen/>
      </w:r>
      <w:r w:rsidRPr="009A6BD2">
        <w:rPr>
          <w:rFonts w:ascii="Times New Roman" w:hAnsi="Times New Roman" w:cs="Times"/>
        </w:rPr>
        <w:t>tre à la base de tant de représentations collectives : ce n'est qu'une forme de cet idéalisme essentiel </w:t>
      </w:r>
      <w:r w:rsidRPr="009A6BD2">
        <w:rPr>
          <w:rStyle w:val="Rimandonotaapidipagina"/>
          <w:rFonts w:ascii="Times" w:hAnsi="Times New Roman" w:cs="Times"/>
        </w:rPr>
        <w:footnoteReference w:id="502"/>
      </w:r>
      <w:r w:rsidRPr="009A6BD2">
        <w:rPr>
          <w:rFonts w:ascii="Times New Roman" w:hAnsi="Times New Roman" w:cs="Times"/>
        </w:rPr>
        <w:t>. Ce n</w:t>
      </w:r>
      <w:r w:rsidRPr="009A6BD2">
        <w:rPr>
          <w:rFonts w:ascii="Times New Roman" w:hAnsi="Times New Roman" w:cs="Times"/>
        </w:rPr>
        <w:t>'est donc pas un délire proprement dit ; car les idées qui s'objectivent ainsi sont fondées, non pas sans doute dans la nature des choses matérielles sur lesquelles elles se greffent, mais dans la nature de la société.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i/>
          <w:iCs/>
        </w:rPr>
      </w:pPr>
      <w:r w:rsidRPr="009A6BD2">
        <w:rPr>
          <w:rFonts w:ascii="Times New Roman" w:hAnsi="Times New Roman" w:cs="Times"/>
        </w:rPr>
        <w:t>On peut maintenant comprendre commen</w:t>
      </w:r>
      <w:r w:rsidRPr="009A6BD2">
        <w:rPr>
          <w:rFonts w:ascii="Times New Roman" w:hAnsi="Times New Roman" w:cs="Times"/>
        </w:rPr>
        <w:t>t le principe totémique et, plus généralement, comment toute force religieuse est extérieure aux choses dans lesquelles elle réside </w:t>
      </w:r>
      <w:r w:rsidRPr="009A6BD2">
        <w:rPr>
          <w:rStyle w:val="Rimandonotaapidipagina"/>
          <w:rFonts w:ascii="Times" w:hAnsi="Times New Roman" w:cs="Times"/>
        </w:rPr>
        <w:footnoteReference w:id="503"/>
      </w:r>
      <w:r w:rsidRPr="009A6BD2">
        <w:rPr>
          <w:rFonts w:ascii="Times New Roman" w:hAnsi="Times New Roman" w:cs="Times"/>
        </w:rPr>
        <w:t>. C'est que la notion n'en est nullement construite avec les impressions que cette chose produit directement sur nos sens e</w:t>
      </w:r>
      <w:r w:rsidRPr="009A6BD2">
        <w:rPr>
          <w:rFonts w:ascii="Times New Roman" w:hAnsi="Times New Roman" w:cs="Times"/>
        </w:rPr>
        <w:t>t sur notre esprit. La force religieuse n'est que le sentiment que la collectivité inspire à ses membres, mais projeté hors des consciences qui l'éprouvent, et objectivité. Pour s'objectiver, il se fixe sur un objet qui devient ainsi sacré ; mais tout obje</w:t>
      </w:r>
      <w:r w:rsidRPr="009A6BD2">
        <w:rPr>
          <w:rFonts w:ascii="Times New Roman" w:hAnsi="Times New Roman" w:cs="Times"/>
        </w:rPr>
        <w:t>t peut jouer ce rôle. En principe, il n'y en a pas qui y soient prédestinés par leur nature, à l'exclusion des autres; il n'y en a pas davantage qui y soient nécessairement réfractaires </w:t>
      </w:r>
      <w:r w:rsidRPr="009A6BD2">
        <w:rPr>
          <w:rStyle w:val="Rimandonotaapidipagina"/>
          <w:rFonts w:ascii="Times" w:hAnsi="Times New Roman" w:cs="Times"/>
        </w:rPr>
        <w:footnoteReference w:id="504"/>
      </w:r>
      <w:r w:rsidRPr="009A6BD2">
        <w:rPr>
          <w:rFonts w:ascii="Times New Roman" w:hAnsi="Times New Roman" w:cs="Times"/>
        </w:rPr>
        <w:t xml:space="preserve">. Tout dépend des circonstances qui font que le sentiment générateur </w:t>
      </w:r>
      <w:r w:rsidRPr="009A6BD2">
        <w:rPr>
          <w:rFonts w:ascii="Times New Roman" w:hAnsi="Times New Roman" w:cs="Times"/>
        </w:rPr>
        <w:t xml:space="preserve">des idées religieuses se pose ici ou là, sur tel point plutôt sur un tel autre. Le caractère sacré que revêt une chose n'est donc pas impliqué dans les propriétés intrinsèques de celle-ci : il y est </w:t>
      </w:r>
      <w:r w:rsidRPr="009A6BD2">
        <w:rPr>
          <w:rFonts w:ascii="Times New Roman" w:hAnsi="Times New Roman" w:cs="Times"/>
          <w:i/>
          <w:iCs/>
        </w:rPr>
        <w:t xml:space="preserve">surajouté. </w:t>
      </w:r>
      <w:r w:rsidRPr="009A6BD2">
        <w:rPr>
          <w:rFonts w:ascii="Times New Roman" w:hAnsi="Times New Roman" w:cs="Times"/>
        </w:rPr>
        <w:t>Le monde du religieux n'est pas un aspect part</w:t>
      </w:r>
      <w:r w:rsidRPr="009A6BD2">
        <w:rPr>
          <w:rFonts w:ascii="Times New Roman" w:hAnsi="Times New Roman" w:cs="Times"/>
        </w:rPr>
        <w:t xml:space="preserve">iculier de la nature empirique ; il y est </w:t>
      </w:r>
      <w:r w:rsidRPr="009A6BD2">
        <w:rPr>
          <w:rFonts w:ascii="Times New Roman" w:hAnsi="Times New Roman" w:cs="Times"/>
          <w:i/>
          <w:iCs/>
        </w:rPr>
        <w:t>superposé.</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Cette conception du religieux permet enfin d'expliquer un important principe que nous trouvons à la base d'une multitude de mythes et de rites et qui peut s'énoncer ainsi: quand un être sacré se subdivi</w:t>
      </w:r>
      <w:r w:rsidRPr="009A6BD2">
        <w:rPr>
          <w:rFonts w:ascii="Times New Roman" w:hAnsi="Times New Roman" w:cs="Times"/>
        </w:rPr>
        <w:t>se, il reste tout entier égal à lui-même dans chacune de ses parties. En d'autres termes, au regard de la pensée religieuse, la partie vaut le tout ; elle a les mêmes pou</w:t>
      </w:r>
      <w:r w:rsidRPr="009A6BD2">
        <w:rPr>
          <w:rFonts w:ascii="Times" w:hAnsi="Times New Roman" w:cs="Times"/>
        </w:rPr>
        <w:softHyphen/>
      </w:r>
      <w:r w:rsidRPr="009A6BD2">
        <w:rPr>
          <w:rFonts w:ascii="Times New Roman" w:hAnsi="Times New Roman" w:cs="Times"/>
        </w:rPr>
        <w:t>voirs, la même efficacité. Un débris de relique a les mêmes vertus que la relique int</w:t>
      </w:r>
      <w:r w:rsidRPr="009A6BD2">
        <w:rPr>
          <w:rFonts w:ascii="Times New Roman" w:hAnsi="Times New Roman" w:cs="Times"/>
        </w:rPr>
        <w:t>égrale. La moindre goutte de sang contient le même principe actif que le sang tout entier. L'âme, comme nous le verrons, peut se fragmenter presque en autant de parties qu'il y a d'organes ou de tissus dans l'organisme; chacune de ces âmes partielles équiv</w:t>
      </w:r>
      <w:r w:rsidRPr="009A6BD2">
        <w:rPr>
          <w:rFonts w:ascii="Times New Roman" w:hAnsi="Times New Roman" w:cs="Times"/>
        </w:rPr>
        <w:t>aut à l'âme totale. Cette conception serait inexplicable si le caractère sacré tenait aux propriétés constitu</w:t>
      </w:r>
      <w:r w:rsidRPr="009A6BD2">
        <w:rPr>
          <w:rFonts w:ascii="Times" w:hAnsi="Times New Roman" w:cs="Times"/>
        </w:rPr>
        <w:softHyphen/>
      </w:r>
      <w:r w:rsidRPr="009A6BD2">
        <w:rPr>
          <w:rFonts w:ascii="Times New Roman" w:hAnsi="Times New Roman" w:cs="Times"/>
        </w:rPr>
        <w:t>tives de la chose qui lui sert de substrat; car alors il devrait varier comme cette chose, croître et décroître avec elle. Mais si les vertus qu'e</w:t>
      </w:r>
      <w:r w:rsidRPr="009A6BD2">
        <w:rPr>
          <w:rFonts w:ascii="Times New Roman" w:hAnsi="Times New Roman" w:cs="Times"/>
        </w:rPr>
        <w:t>lle est censée posséder ne lui sont pas intrinsèques, si elles lui viennent de certains sentiments qu'elle rappelle et qu'elle symbolise bien qu'ils aient leur origine en dehors d'elle, comme, pour remplir ce rôle évocateur, elle n'a pas besoin d'avoir des</w:t>
      </w:r>
      <w:r w:rsidRPr="009A6BD2">
        <w:rPr>
          <w:rFonts w:ascii="Times New Roman" w:hAnsi="Times New Roman" w:cs="Times"/>
        </w:rPr>
        <w:t xml:space="preserve"> dimensions déterminées, elle aura la même valeur, qu'elle soit entière ou non. Comme la partie rappelle le tout, elle évoque aussi les sentiments que le tout rappelle. Un simple fragment du drapeau représente la patrie comme le drapeau lui-même : aussi es</w:t>
      </w:r>
      <w:r w:rsidRPr="009A6BD2">
        <w:rPr>
          <w:rFonts w:ascii="Times New Roman" w:hAnsi="Times New Roman" w:cs="Times"/>
        </w:rPr>
        <w:t>t-il sacré au même titre et au même degré </w:t>
      </w:r>
      <w:r w:rsidRPr="009A6BD2">
        <w:rPr>
          <w:rStyle w:val="Rimandonotaapidipagina"/>
          <w:rFonts w:ascii="Times" w:hAnsi="Times New Roman" w:cs="Times"/>
        </w:rPr>
        <w:footnoteReference w:id="505"/>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pStyle w:val="section"/>
        <w:rPr>
          <w:rFonts w:ascii="Times New Roman" w:hAnsi="Times New Roman"/>
        </w:rPr>
      </w:pPr>
      <w:bookmarkStart w:id="42" w:name="livre_2_chap_7_5"/>
      <w:r w:rsidRPr="009A6BD2">
        <w:rPr>
          <w:rFonts w:ascii="Times New Roman" w:hAnsi="Times New Roman"/>
        </w:rPr>
        <w:t>V</w:t>
      </w:r>
    </w:p>
    <w:bookmarkEnd w:id="42"/>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Mais si cette théorie du totémisme nous a permis d'expliquer les croyances les plus caractéristiques de cette religion, elle repose elle-même sur un fait qui n'est p</w:t>
      </w:r>
      <w:r w:rsidRPr="009A6BD2">
        <w:rPr>
          <w:rFonts w:ascii="Times New Roman" w:hAnsi="Times New Roman" w:cs="Times"/>
        </w:rPr>
        <w:t>as encore expliqué. Étant donnée la notion du totem, emblème du clan, tout le reste suit ; mais il reste à rechercher comment cette notion s'est constituée. La question est double et peut se subdiviser ainsi : 1º qu'est-ce qui a déterminé le clan à se choi</w:t>
      </w:r>
      <w:r w:rsidRPr="009A6BD2">
        <w:rPr>
          <w:rFonts w:ascii="Times New Roman" w:hAnsi="Times New Roman" w:cs="Times"/>
        </w:rPr>
        <w:t>sir un emblème ? 2º pourquoi ces emblèmes ont-ils été empruntés au monde animal et végétal, mais plus particulièrement au premier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Qu'un emblème soit, pour toute espèce de groupe, un utile centre de ralliement, c'est ce qu'il est inutile de démontrer. En</w:t>
      </w:r>
      <w:r w:rsidRPr="009A6BD2">
        <w:rPr>
          <w:rFonts w:ascii="Times New Roman" w:hAnsi="Times New Roman" w:cs="Times"/>
        </w:rPr>
        <w:t xml:space="preserve"> exprimant l'unité sociale sous une forme matérielle, il la rend plus sensible à tous et, pour cette raison déjà, l'emploi des symboles emblématiques dut vite se généraliser une fois que l'idée en fut née. Mais de plus, cette idée dut jaillir spontané</w:t>
      </w:r>
      <w:r w:rsidRPr="009A6BD2">
        <w:rPr>
          <w:rFonts w:ascii="Times" w:hAnsi="Times New Roman" w:cs="Times"/>
        </w:rPr>
        <w:softHyphen/>
      </w:r>
      <w:r w:rsidRPr="009A6BD2">
        <w:rPr>
          <w:rFonts w:ascii="Times New Roman" w:hAnsi="Times New Roman" w:cs="Times"/>
        </w:rPr>
        <w:t>ment</w:t>
      </w:r>
      <w:r w:rsidRPr="009A6BD2">
        <w:rPr>
          <w:rFonts w:ascii="Times New Roman" w:hAnsi="Times New Roman" w:cs="Times"/>
        </w:rPr>
        <w:t xml:space="preserve"> des conditions de la vie commune; car l'emblème n'est pas seulement un procédé commode qui rend plus clair le sentiment que la société a d'elle-même: il sert à faire ce sentiment; il en est lui-même un élément constitutif.</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En effet, par elles-mêmes, les </w:t>
      </w:r>
      <w:r w:rsidRPr="009A6BD2">
        <w:rPr>
          <w:rFonts w:ascii="Times New Roman" w:hAnsi="Times New Roman" w:cs="Times"/>
        </w:rPr>
        <w:t>consciences individuelles sont fermées les unes aux autres; elles ne peuvent communiquer qu'au moyen de signes oh viennent se traduire leurs états intérieurs. Pour que le commerce qui s'établit entre elles puisse aboutir à une communion, c'est-à-dire à une</w:t>
      </w:r>
      <w:r w:rsidRPr="009A6BD2">
        <w:rPr>
          <w:rFonts w:ascii="Times New Roman" w:hAnsi="Times New Roman" w:cs="Times"/>
        </w:rPr>
        <w:t xml:space="preserve"> fusion de tous les sentiments particuliers en un sentiment commun, il faut donc que les signes qui les manifestent viennent eux-mêmes se fondre en une seule et unique résultante. C'est l'apparition de cette résultante qui avertit les individus qu'ils sont</w:t>
      </w:r>
      <w:r w:rsidRPr="009A6BD2">
        <w:rPr>
          <w:rFonts w:ascii="Times New Roman" w:hAnsi="Times New Roman" w:cs="Times"/>
        </w:rPr>
        <w:t xml:space="preserve"> à l'unisson et qui leur fait prendre conscience de leur unité morale. C'est en poussant un même cri, en prononçant une même parole, en exécutant un même geste concernant un même objet qu'ils se mettent et se sentent d'accord. Sans doute, les représenta</w:t>
      </w:r>
      <w:r w:rsidRPr="009A6BD2">
        <w:rPr>
          <w:rFonts w:ascii="Times" w:hAnsi="Times New Roman" w:cs="Times"/>
        </w:rPr>
        <w:softHyphen/>
      </w:r>
      <w:r w:rsidRPr="009A6BD2">
        <w:rPr>
          <w:rFonts w:ascii="Times New Roman" w:hAnsi="Times New Roman" w:cs="Times"/>
        </w:rPr>
        <w:t>ti</w:t>
      </w:r>
      <w:r w:rsidRPr="009A6BD2">
        <w:rPr>
          <w:rFonts w:ascii="Times New Roman" w:hAnsi="Times New Roman" w:cs="Times"/>
        </w:rPr>
        <w:t>ons individuelles, elles aussi, déterminent dans l'organisme des contrecoups qui ne sont pas sans importance; elles peuvent cependant être conçues, abstraction faite de ces répercussions physiques qui les accompa</w:t>
      </w:r>
      <w:r w:rsidRPr="009A6BD2">
        <w:rPr>
          <w:rFonts w:ascii="Times" w:hAnsi="Times New Roman" w:cs="Times"/>
        </w:rPr>
        <w:softHyphen/>
      </w:r>
      <w:r w:rsidRPr="009A6BD2">
        <w:rPr>
          <w:rFonts w:ascii="Times New Roman" w:hAnsi="Times New Roman" w:cs="Times"/>
        </w:rPr>
        <w:t>gnent ou qui les suivent, mais qui ne les c</w:t>
      </w:r>
      <w:r w:rsidRPr="009A6BD2">
        <w:rPr>
          <w:rFonts w:ascii="Times New Roman" w:hAnsi="Times New Roman" w:cs="Times"/>
        </w:rPr>
        <w:t>onstituent pas. Il en va tout autrement des représen</w:t>
      </w:r>
      <w:r w:rsidRPr="009A6BD2">
        <w:rPr>
          <w:rFonts w:ascii="Times" w:hAnsi="Times New Roman" w:cs="Times"/>
        </w:rPr>
        <w:softHyphen/>
      </w:r>
      <w:r w:rsidRPr="009A6BD2">
        <w:rPr>
          <w:rFonts w:ascii="Times New Roman" w:hAnsi="Times New Roman" w:cs="Times"/>
        </w:rPr>
        <w:t>tations collectives. Elles supposent que des consciences agissent et réagissent les unes sur les autres ; elles résultent de ces actions et de ces réactions qui, elles-mêmes ne sont possibles que grâce à</w:t>
      </w:r>
      <w:r w:rsidRPr="009A6BD2">
        <w:rPr>
          <w:rFonts w:ascii="Times New Roman" w:hAnsi="Times New Roman" w:cs="Times"/>
        </w:rPr>
        <w:t xml:space="preserve"> des intermédiaires matériels. Ceux-ci ne se bornent donc pas à révéler l'état mental auquel ils sont associés ; ils contribuent à le faire. Les esprits particuliers ne peuvent se rencontrer et communier qu'à condition de sortir d'eux-mêmes ; mais ils ne p</w:t>
      </w:r>
      <w:r w:rsidRPr="009A6BD2">
        <w:rPr>
          <w:rFonts w:ascii="Times New Roman" w:hAnsi="Times New Roman" w:cs="Times"/>
        </w:rPr>
        <w:t>euvent s'extérioriser que sous la forme de mouvements. C'est l'homogé</w:t>
      </w:r>
      <w:r w:rsidRPr="009A6BD2">
        <w:rPr>
          <w:rFonts w:ascii="Times" w:hAnsi="Times New Roman" w:cs="Times"/>
        </w:rPr>
        <w:softHyphen/>
      </w:r>
      <w:r w:rsidRPr="009A6BD2">
        <w:rPr>
          <w:rFonts w:ascii="Times New Roman" w:hAnsi="Times New Roman" w:cs="Times"/>
        </w:rPr>
        <w:t>néité de ces mouvements qui donne au groupe le sentiment de soi et qui, par conséquent, le fait être. Une fois cette homogénéité établie, une fois que ces mouvements ont pris une forme u</w:t>
      </w:r>
      <w:r w:rsidRPr="009A6BD2">
        <w:rPr>
          <w:rFonts w:ascii="Times New Roman" w:hAnsi="Times New Roman" w:cs="Times"/>
        </w:rPr>
        <w:t>ne et stéréotypée, ils servent à symboliser les représentations correspondantes. Mais ils ne les symbolisent que parce qu'ils ont concouru à les former.</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D'ailleurs, sans symboles, les sentiments sociaux ne pourraient avoir qu'une existence précaire. Très </w:t>
      </w:r>
      <w:r w:rsidRPr="009A6BD2">
        <w:rPr>
          <w:rFonts w:ascii="Times New Roman" w:hAnsi="Times New Roman" w:cs="Times"/>
        </w:rPr>
        <w:t xml:space="preserve">forts tant que les hommes sont assemblés et s'influencent réciproquement, ils ne subsistent, quand l'assemblée a pris fin, que sous la forme de souvenirs qui, s'ils sont abandonnés à eux-mêmes, vont de plus en plus en pâlissant; car, comme le groupe, à ce </w:t>
      </w:r>
      <w:r w:rsidRPr="009A6BD2">
        <w:rPr>
          <w:rFonts w:ascii="Times New Roman" w:hAnsi="Times New Roman" w:cs="Times"/>
        </w:rPr>
        <w:t>moment, n'est plus présent et agissant, les tempéraments individuels reprennent facilement le dessus. Les passions violentes qui ont pu se déchaîner au sein d'une foule tombent et s'éteignent une fois qu'elle s'est dissoute, et les individus se demandent a</w:t>
      </w:r>
      <w:r w:rsidRPr="009A6BD2">
        <w:rPr>
          <w:rFonts w:ascii="Times New Roman" w:hAnsi="Times New Roman" w:cs="Times"/>
        </w:rPr>
        <w:t>vec stupeur com</w:t>
      </w:r>
      <w:r w:rsidRPr="009A6BD2">
        <w:rPr>
          <w:rFonts w:ascii="Times" w:hAnsi="Times New Roman" w:cs="Times"/>
        </w:rPr>
        <w:softHyphen/>
      </w:r>
      <w:r w:rsidRPr="009A6BD2">
        <w:rPr>
          <w:rFonts w:ascii="Times New Roman" w:hAnsi="Times New Roman" w:cs="Times"/>
        </w:rPr>
        <w:t>ment ils ont pu se laisser emporter à ce point hors de leur caractère. Mais si les mouvements par lesquels ces sentiments se sont exprimés viennent S'inscrire sur des choses qui durent, ils deviennent eux-mêmes durables. Ces choses les rapp</w:t>
      </w:r>
      <w:r w:rsidRPr="009A6BD2">
        <w:rPr>
          <w:rFonts w:ascii="Times New Roman" w:hAnsi="Times New Roman" w:cs="Times"/>
        </w:rPr>
        <w:t>ellent sans cesse aux esprits et les tiennent perpétuellement en éveil; c'est comme si la cause initiale qui les a suscités continuait à agir. Ainsi l'emblématisme, nécessaire pour permettre à la société de prendre conscience de soi, n'est pas moins indisp</w:t>
      </w:r>
      <w:r w:rsidRPr="009A6BD2">
        <w:rPr>
          <w:rFonts w:ascii="Times New Roman" w:hAnsi="Times New Roman" w:cs="Times"/>
        </w:rPr>
        <w:t>ensable pour assurer la continuité de cette conscience.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faut donc se garder de voir dans ces symboles de simples artifices, des sortes d'étiquet</w:t>
      </w:r>
      <w:r w:rsidRPr="009A6BD2">
        <w:rPr>
          <w:rFonts w:ascii="Times" w:hAnsi="Times New Roman" w:cs="Times"/>
        </w:rPr>
        <w:softHyphen/>
      </w:r>
      <w:r w:rsidRPr="009A6BD2">
        <w:rPr>
          <w:rFonts w:ascii="Times New Roman" w:hAnsi="Times New Roman" w:cs="Times"/>
        </w:rPr>
        <w:t xml:space="preserve">tes qui viendraient se surajouter à des représentations toutes faites pour les rendre plus maniables : ils </w:t>
      </w:r>
      <w:r w:rsidRPr="009A6BD2">
        <w:rPr>
          <w:rFonts w:ascii="Times New Roman" w:hAnsi="Times New Roman" w:cs="Times"/>
        </w:rPr>
        <w:t>en sont partie intégrante. Même le fait que des sentiments collectifs se trouvent ainsi rattachés à des choses qui leur sont étrangères n'est pas purement conven</w:t>
      </w:r>
      <w:r w:rsidRPr="009A6BD2">
        <w:rPr>
          <w:rFonts w:ascii="Times" w:hAnsi="Times New Roman" w:cs="Times"/>
        </w:rPr>
        <w:softHyphen/>
      </w:r>
      <w:r w:rsidRPr="009A6BD2">
        <w:rPr>
          <w:rFonts w:ascii="Times New Roman" w:hAnsi="Times New Roman" w:cs="Times"/>
        </w:rPr>
        <w:t xml:space="preserve">tionnel : il ne fait que figurer sous une forme sensible un caractère réel des faits sociaux, </w:t>
      </w:r>
      <w:r w:rsidRPr="009A6BD2">
        <w:rPr>
          <w:rFonts w:ascii="Times New Roman" w:hAnsi="Times New Roman" w:cs="Times"/>
        </w:rPr>
        <w:t>à savoir leur transcendance par rapport aux consciences individuelles. On sait, en effet que les phénomènes sociaux prennent naissance, non dans l'individu, mais dans le groupe. Quelque part que nous prenions à leur genèse, chacun de nous les reçoit du deh</w:t>
      </w:r>
      <w:r w:rsidRPr="009A6BD2">
        <w:rPr>
          <w:rFonts w:ascii="Times New Roman" w:hAnsi="Times New Roman" w:cs="Times"/>
        </w:rPr>
        <w:t>ors </w:t>
      </w:r>
      <w:r w:rsidRPr="009A6BD2">
        <w:rPr>
          <w:rStyle w:val="Rimandonotaapidipagina"/>
          <w:rFonts w:ascii="Times" w:hAnsi="Times New Roman" w:cs="Times"/>
        </w:rPr>
        <w:footnoteReference w:id="506"/>
      </w:r>
      <w:r w:rsidRPr="009A6BD2">
        <w:rPr>
          <w:rFonts w:ascii="Times New Roman" w:hAnsi="Times New Roman" w:cs="Times"/>
        </w:rPr>
        <w:t>. Quand donc nous nous les représentons comme émanant d'un objet matériel, nous ne nous méprenons pas complètement sur leur nature. Sans doute, ils ne viennent pas de la chose déterminée à laquelle nous les rapportons; mais il reste vrai qu'ils ont le</w:t>
      </w:r>
      <w:r w:rsidRPr="009A6BD2">
        <w:rPr>
          <w:rFonts w:ascii="Times New Roman" w:hAnsi="Times New Roman" w:cs="Times"/>
        </w:rPr>
        <w:t>ur origine hors de nous. Si la force morale qui soutient le fidèle ne provient pas de l'idole qu'il adore, de l'emblème qu'il vénère, elle ne laisse pas cependant de lui être extérieure et il en a le sentiment. L'objectivité du symbole ne fait que traduire</w:t>
      </w:r>
      <w:r w:rsidRPr="009A6BD2">
        <w:rPr>
          <w:rFonts w:ascii="Times New Roman" w:hAnsi="Times New Roman" w:cs="Times"/>
        </w:rPr>
        <w:t xml:space="preserve"> cette extériorité.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Ainsi, la vie sociale, sous tous ses aspects et à tous les moments de son histoire, n'est possible que grâce à un vaste symbolisme. Les emblèmes matériels, les représentations figurées, dont nous avons plus spécialement à nous occuper </w:t>
      </w:r>
      <w:r w:rsidRPr="009A6BD2">
        <w:rPr>
          <w:rFonts w:ascii="Times New Roman" w:hAnsi="Times New Roman" w:cs="Times"/>
        </w:rPr>
        <w:t>dans la présente étude, en sont une forme particulière ; mais il en est bien d'autres. Les sentiments collectifs peuvent égale</w:t>
      </w:r>
      <w:r w:rsidRPr="009A6BD2">
        <w:rPr>
          <w:rFonts w:ascii="Times" w:hAnsi="Times New Roman" w:cs="Times"/>
        </w:rPr>
        <w:softHyphen/>
      </w:r>
      <w:r w:rsidRPr="009A6BD2">
        <w:rPr>
          <w:rFonts w:ascii="Times New Roman" w:hAnsi="Times New Roman" w:cs="Times"/>
        </w:rPr>
        <w:t>ment s'incarner dans des personnes ou dans des formules : il y a des formules qui sont des drapeaux ; il n'y a des personnages, r</w:t>
      </w:r>
      <w:r w:rsidRPr="009A6BD2">
        <w:rPr>
          <w:rFonts w:ascii="Times New Roman" w:hAnsi="Times New Roman" w:cs="Times"/>
        </w:rPr>
        <w:t>éels ou mythiques, qui sont des symboles. Mais il y a une sorte d'emblème qui dut apparaître très vite en dehors de tout calcul et de toute réflexion: c'est celui-là même que nous avons vu jouer dans le totémisme un rôle considérable ; c'est le tatouage. D</w:t>
      </w:r>
      <w:r w:rsidRPr="009A6BD2">
        <w:rPr>
          <w:rFonts w:ascii="Times New Roman" w:hAnsi="Times New Roman" w:cs="Times"/>
        </w:rPr>
        <w:t>es faits connus démontrent, en effet, qu'il se produit avec une sorte d'automatisme dans des conditions données. Quand des hommes de culture inférieure sont associés dans une vie commune, ils sont souvent amenés, comme par une tendance instinctive, à se pe</w:t>
      </w:r>
      <w:r w:rsidRPr="009A6BD2">
        <w:rPr>
          <w:rFonts w:ascii="Times New Roman" w:hAnsi="Times New Roman" w:cs="Times"/>
        </w:rPr>
        <w:t>indre ou à se graver sur le corps des images qui rappellent cette communauté d'existence. D'après un texte de Procope, les premiers chrétiens se faisaient imprimer sur la peau le nom du Christ ou le signe de la croix </w:t>
      </w:r>
      <w:r w:rsidRPr="009A6BD2">
        <w:rPr>
          <w:rStyle w:val="Rimandonotaapidipagina"/>
          <w:rFonts w:ascii="Times" w:hAnsi="Times New Roman" w:cs="Times"/>
        </w:rPr>
        <w:footnoteReference w:id="507"/>
      </w:r>
      <w:r w:rsidRPr="009A6BD2">
        <w:rPr>
          <w:rFonts w:ascii="Times New Roman" w:hAnsi="Times New Roman" w:cs="Times"/>
        </w:rPr>
        <w:t>. Pendant longtemps, les groupes de pè</w:t>
      </w:r>
      <w:r w:rsidRPr="009A6BD2">
        <w:rPr>
          <w:rFonts w:ascii="Times New Roman" w:hAnsi="Times New Roman" w:cs="Times"/>
        </w:rPr>
        <w:t>lerins qui se rendaient en Palestine se faisaient également tatouer, sur les bras ou sur les poignets, des dessins qui représentaient la croix ou le monogramme du Christ </w:t>
      </w:r>
      <w:r w:rsidRPr="009A6BD2">
        <w:rPr>
          <w:rStyle w:val="Rimandonotaapidipagina"/>
          <w:rFonts w:ascii="Times" w:hAnsi="Times New Roman" w:cs="Times"/>
        </w:rPr>
        <w:footnoteReference w:id="508"/>
      </w:r>
      <w:r w:rsidRPr="009A6BD2">
        <w:rPr>
          <w:rFonts w:ascii="Times New Roman" w:hAnsi="Times New Roman" w:cs="Times"/>
        </w:rPr>
        <w:t>. On signale le même usage dans les pèlerinages qui se font à de certains lieux saint</w:t>
      </w:r>
      <w:r w:rsidRPr="009A6BD2">
        <w:rPr>
          <w:rFonts w:ascii="Times New Roman" w:hAnsi="Times New Roman" w:cs="Times"/>
        </w:rPr>
        <w:t>s d'Italie </w:t>
      </w:r>
      <w:r w:rsidRPr="009A6BD2">
        <w:rPr>
          <w:rStyle w:val="Rimandonotaapidipagina"/>
          <w:rFonts w:ascii="Times" w:hAnsi="Times New Roman" w:cs="Times"/>
        </w:rPr>
        <w:footnoteReference w:id="509"/>
      </w:r>
      <w:r w:rsidRPr="009A6BD2">
        <w:rPr>
          <w:rFonts w:ascii="Times New Roman" w:hAnsi="Times New Roman" w:cs="Times"/>
        </w:rPr>
        <w:t>. Un curieux cas de tatouage spontané est rapporté par Lombroso : vingt jeunes gens d'un collège italien, sur le point de se séparer, se firent décorer de tatouages qui, sous des formes diverses, rappelaient les années qu'ils venaient de passer</w:t>
      </w:r>
      <w:r w:rsidRPr="009A6BD2">
        <w:rPr>
          <w:rFonts w:ascii="Times New Roman" w:hAnsi="Times New Roman" w:cs="Times"/>
        </w:rPr>
        <w:t xml:space="preserve"> ensemble </w:t>
      </w:r>
      <w:r w:rsidRPr="009A6BD2">
        <w:rPr>
          <w:rStyle w:val="Rimandonotaapidipagina"/>
          <w:rFonts w:ascii="Times" w:hAnsi="Times New Roman" w:cs="Times"/>
        </w:rPr>
        <w:footnoteReference w:id="510"/>
      </w:r>
      <w:r w:rsidRPr="009A6BD2">
        <w:rPr>
          <w:rFonts w:ascii="Times New Roman" w:hAnsi="Times New Roman" w:cs="Times"/>
        </w:rPr>
        <w:t>. La même prati</w:t>
      </w:r>
      <w:r w:rsidRPr="009A6BD2">
        <w:rPr>
          <w:rFonts w:ascii="Times" w:hAnsi="Times New Roman" w:cs="Times"/>
        </w:rPr>
        <w:softHyphen/>
      </w:r>
      <w:r w:rsidRPr="009A6BD2">
        <w:rPr>
          <w:rFonts w:ascii="Times New Roman" w:hAnsi="Times New Roman" w:cs="Times"/>
        </w:rPr>
        <w:t>que a été souvent observée chez les soldats d'une même caserne, chez les marins d'un même bateau, chez les prisonniers enfermés dans une même maison de détention </w:t>
      </w:r>
      <w:r w:rsidRPr="009A6BD2">
        <w:rPr>
          <w:rStyle w:val="Rimandonotaapidipagina"/>
          <w:rFonts w:ascii="Times" w:hAnsi="Times New Roman" w:cs="Times"/>
        </w:rPr>
        <w:footnoteReference w:id="511"/>
      </w:r>
      <w:r w:rsidRPr="009A6BD2">
        <w:rPr>
          <w:rFonts w:ascii="Times New Roman" w:hAnsi="Times New Roman" w:cs="Times"/>
        </w:rPr>
        <w:t>.</w:t>
      </w:r>
    </w:p>
    <w:p w:rsidR="009A6BD2" w:rsidRPr="009A6BD2" w:rsidRDefault="003E2D0F">
      <w:pPr>
        <w:jc w:val="both"/>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On comprend, en effet, que, là surtout où la technique est enco</w:t>
      </w:r>
      <w:r w:rsidRPr="009A6BD2">
        <w:rPr>
          <w:rFonts w:ascii="Times New Roman" w:hAnsi="Times New Roman" w:cs="Times"/>
        </w:rPr>
        <w:t>re rudimentaire, le tatouage soit le moyen le plus direct et le plus expressif par lequel puisse s'affirmer la com</w:t>
      </w:r>
      <w:r w:rsidRPr="009A6BD2">
        <w:rPr>
          <w:rFonts w:ascii="Times" w:hAnsi="Times New Roman" w:cs="Times"/>
        </w:rPr>
        <w:softHyphen/>
      </w:r>
      <w:r w:rsidRPr="009A6BD2">
        <w:rPr>
          <w:rFonts w:ascii="Times New Roman" w:hAnsi="Times New Roman" w:cs="Times"/>
        </w:rPr>
        <w:t>mu</w:t>
      </w:r>
      <w:r w:rsidRPr="009A6BD2">
        <w:rPr>
          <w:rFonts w:ascii="Times" w:hAnsi="Times New Roman" w:cs="Times"/>
        </w:rPr>
        <w:softHyphen/>
      </w:r>
      <w:r w:rsidRPr="009A6BD2">
        <w:rPr>
          <w:rFonts w:ascii="Times New Roman" w:hAnsi="Times New Roman" w:cs="Times"/>
        </w:rPr>
        <w:t>nion des consciences. La meilleure manière de s'attester à soi-même et d'attester à autrui qu'on fait partie d'un même groupe, c'est de s'</w:t>
      </w:r>
      <w:r w:rsidRPr="009A6BD2">
        <w:rPr>
          <w:rFonts w:ascii="Times New Roman" w:hAnsi="Times New Roman" w:cs="Times"/>
        </w:rPr>
        <w:t>imprimer sur le corps une même marque distinctive. Et ce qui prouve que telle est bien la raison d'être de l'image totémique, c'est que, comme nous l'avons montré, elle ne cherche pas à reproduire l'aspect de la chose qu'elle est censée représenter. Elle e</w:t>
      </w:r>
      <w:r w:rsidRPr="009A6BD2">
        <w:rPr>
          <w:rFonts w:ascii="Times New Roman" w:hAnsi="Times New Roman" w:cs="Times"/>
        </w:rPr>
        <w:t>st faite de lignes et de points auxquels est attribuée une signification toute conventionnelle </w:t>
      </w:r>
      <w:r w:rsidRPr="009A6BD2">
        <w:rPr>
          <w:rStyle w:val="Rimandonotaapidipagina"/>
          <w:rFonts w:ascii="Times" w:hAnsi="Times New Roman" w:cs="Times"/>
        </w:rPr>
        <w:footnoteReference w:id="512"/>
      </w:r>
      <w:r w:rsidRPr="009A6BD2">
        <w:rPr>
          <w:rFonts w:ascii="Times New Roman" w:hAnsi="Times New Roman" w:cs="Times"/>
        </w:rPr>
        <w:t>. Elle n'a pas pour but de figurer et de rappeler un objet déterminé, mais de témoigner qu'un certain nombre d'individus participent d'une même vie morale.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Le </w:t>
      </w:r>
      <w:r w:rsidRPr="009A6BD2">
        <w:rPr>
          <w:rFonts w:ascii="Times New Roman" w:hAnsi="Times New Roman" w:cs="Times"/>
        </w:rPr>
        <w:t>clan est, d'ailleurs, une société qui peut, moins que toute autre, se passer d'emblème et de symbole, car il n'en est guère qui manque autant de consistance. Le clan ne peut pas se définir par son chef ; car, si toute autorité centrale n'en est pas absente</w:t>
      </w:r>
      <w:r w:rsidRPr="009A6BD2">
        <w:rPr>
          <w:rFonts w:ascii="Times New Roman" w:hAnsi="Times New Roman" w:cs="Times"/>
        </w:rPr>
        <w:t>, elle y est, du moins, incertaine et instable </w:t>
      </w:r>
      <w:r w:rsidRPr="009A6BD2">
        <w:rPr>
          <w:rStyle w:val="Rimandonotaapidipagina"/>
          <w:rFonts w:ascii="Times" w:hAnsi="Times New Roman" w:cs="Times"/>
        </w:rPr>
        <w:footnoteReference w:id="513"/>
      </w:r>
      <w:r w:rsidRPr="009A6BD2">
        <w:rPr>
          <w:rFonts w:ascii="Times New Roman" w:hAnsi="Times New Roman" w:cs="Times"/>
        </w:rPr>
        <w:t>. Il ne peut davantage se définir par le territoire qu'il occupe ; car la population, étant nomade </w:t>
      </w:r>
      <w:r w:rsidRPr="009A6BD2">
        <w:rPr>
          <w:rStyle w:val="Rimandonotaapidipagina"/>
          <w:rFonts w:ascii="Times" w:hAnsi="Times New Roman" w:cs="Times"/>
        </w:rPr>
        <w:footnoteReference w:id="514"/>
      </w:r>
      <w:r w:rsidRPr="009A6BD2">
        <w:rPr>
          <w:rFonts w:ascii="Times New Roman" w:hAnsi="Times New Roman" w:cs="Times"/>
        </w:rPr>
        <w:t xml:space="preserve">, n'est pas étroitement attachée à une localité déterminée. De plus, en vertu de la loi d'exogamie, le mari </w:t>
      </w:r>
      <w:r w:rsidRPr="009A6BD2">
        <w:rPr>
          <w:rFonts w:ascii="Times New Roman" w:hAnsi="Times New Roman" w:cs="Times"/>
        </w:rPr>
        <w:t>et la femme sont obligatoirement de totems différents ; là donc où le totem se transmet en ligne maternelle - et ce système de filiation est encore aujourd'hui le plus général </w:t>
      </w:r>
      <w:r w:rsidRPr="009A6BD2">
        <w:rPr>
          <w:rStyle w:val="Rimandonotaapidipagina"/>
          <w:rFonts w:ascii="Times" w:hAnsi="Times New Roman" w:cs="Times"/>
        </w:rPr>
        <w:footnoteReference w:id="515"/>
      </w:r>
      <w:r w:rsidRPr="009A6BD2">
        <w:rPr>
          <w:rFonts w:ascii="Times New Roman" w:hAnsi="Times New Roman" w:cs="Times"/>
        </w:rPr>
        <w:t xml:space="preserve"> – les enfants sont d'un autre clan que leur père, tout en vivant auprès de ce </w:t>
      </w:r>
      <w:r w:rsidRPr="009A6BD2">
        <w:rPr>
          <w:rFonts w:ascii="Times New Roman" w:hAnsi="Times New Roman" w:cs="Times"/>
        </w:rPr>
        <w:t>dernier. Pour toutes ces raisons, on trouve à l'intérieur d'une même famille et, plus encore, à l'intérieur d'une même localité, des représentants de toute sorte de clans différents. L'unité du groupe n'est donc sensible que grâce au nom collectif que port</w:t>
      </w:r>
      <w:r w:rsidRPr="009A6BD2">
        <w:rPr>
          <w:rFonts w:ascii="Times New Roman" w:hAnsi="Times New Roman" w:cs="Times"/>
        </w:rPr>
        <w:t>ent tous ses membres et l'emblème, égale</w:t>
      </w:r>
      <w:r w:rsidRPr="009A6BD2">
        <w:rPr>
          <w:rFonts w:ascii="Times" w:hAnsi="Times New Roman" w:cs="Times"/>
        </w:rPr>
        <w:softHyphen/>
      </w:r>
      <w:r w:rsidRPr="009A6BD2">
        <w:rPr>
          <w:rFonts w:ascii="Times New Roman" w:hAnsi="Times New Roman" w:cs="Times"/>
        </w:rPr>
        <w:t>ment collectif, qui reproduit la chose désignée par ce nom. Un clan est essentiellement une réunion d'individus qui portent un même nom et qui se rallient autour d'un même signe. Enlevez le nom et le signe qui le ma</w:t>
      </w:r>
      <w:r w:rsidRPr="009A6BD2">
        <w:rPr>
          <w:rFonts w:ascii="Times New Roman" w:hAnsi="Times New Roman" w:cs="Times"/>
        </w:rPr>
        <w:t>térialise, et le clan n'est même plus représentable. Puisqu'il n'était possible qu'à cette condition, on s'explique et l'institution de l'emblème et la place prise par cet emblème dans la vie du groupe.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reste à chercher pourquoi ces noms et ces emblè</w:t>
      </w:r>
      <w:r w:rsidRPr="009A6BD2">
        <w:rPr>
          <w:rFonts w:ascii="Times New Roman" w:hAnsi="Times New Roman" w:cs="Times"/>
        </w:rPr>
        <w:t>mes furent empruntés, d'une manière presque exclusive, au règne animal et au règne végétal, mais surtout au premier.</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Il nous paraît vraisemblable que l'emblème a joué un rôle plus important que le nom. En tout cas, le signe écrit tient encore aujourd'hui </w:t>
      </w:r>
      <w:r w:rsidRPr="009A6BD2">
        <w:rPr>
          <w:rFonts w:ascii="Times New Roman" w:hAnsi="Times New Roman" w:cs="Times"/>
        </w:rPr>
        <w:t>dans la vie du clan une place plus centrale que le signe parlé. Or, la matière de l'image emblématique ne pouvait être demandée qu'à une chose susceptible d'être figurée par un dessin. D'un autre côté, il fallait que ces choses fussent de celles avec lesqu</w:t>
      </w:r>
      <w:r w:rsidRPr="009A6BD2">
        <w:rPr>
          <w:rFonts w:ascii="Times New Roman" w:hAnsi="Times New Roman" w:cs="Times"/>
        </w:rPr>
        <w:t xml:space="preserve">elles les hommes du clan étaient le plus immédiatement et le plus habituellement en rapports. Les animaux remplissaient au plus haut degré cette condition. Pour ces peuplades de chasseurs et de pêcheurs, l'animal constituait, en effet, l'élément essentiel </w:t>
      </w:r>
      <w:r w:rsidRPr="009A6BD2">
        <w:rPr>
          <w:rFonts w:ascii="Times New Roman" w:hAnsi="Times New Roman" w:cs="Times"/>
        </w:rPr>
        <w:t>du milieu économique. Sous ce rapport, les plantes ne venaient qu'ensuite ; car elles ne peuvent tenir qu'une place secondaire dans l'alimentation tant qu'elles ne sont pas cultivées. D'ailleurs, l'animal est plus étroitement associé à la vie de l'homme qu</w:t>
      </w:r>
      <w:r w:rsidRPr="009A6BD2">
        <w:rPr>
          <w:rFonts w:ascii="Times New Roman" w:hAnsi="Times New Roman" w:cs="Times"/>
        </w:rPr>
        <w:t>e la plante, ne serait-ce qu'à cause de la parenté de nature qui unit entre eux ces deux êtres. Au contraire, le soleil, la lune, les astres étaient trop loin et faisaient l'effet de ressortir à un autre monde </w:t>
      </w:r>
      <w:r w:rsidRPr="009A6BD2">
        <w:rPr>
          <w:rStyle w:val="Rimandonotaapidipagina"/>
          <w:rFonts w:ascii="Times" w:hAnsi="Times New Roman" w:cs="Times"/>
        </w:rPr>
        <w:footnoteReference w:id="516"/>
      </w:r>
      <w:r w:rsidRPr="009A6BD2">
        <w:rPr>
          <w:rFonts w:ascii="Times New Roman" w:hAnsi="Times New Roman" w:cs="Times"/>
        </w:rPr>
        <w:t>. De plus, tant que les constellations n'étai</w:t>
      </w:r>
      <w:r w:rsidRPr="009A6BD2">
        <w:rPr>
          <w:rFonts w:ascii="Times New Roman" w:hAnsi="Times New Roman" w:cs="Times"/>
        </w:rPr>
        <w:t>ent pas distinguées et classées, la voûte étoilée n'offrait pas une suffisante diversité de choses assez nettement différenciées pour pouvoir servir à désigner tous les clans et tous les sous-clans d'une tribu ; au contraire, la variété de la flore et surt</w:t>
      </w:r>
      <w:r w:rsidRPr="009A6BD2">
        <w:rPr>
          <w:rFonts w:ascii="Times New Roman" w:hAnsi="Times New Roman" w:cs="Times"/>
        </w:rPr>
        <w:t>out de la faune était presque inépuisable. Pour ces raisons, les corps célestes, en dépit de leur éclat, de la vive impression qu'ils font sur les sens, étaient impropres au rôle de totems pour lequel, au contraire, animaux et végétaux étaient tout désigné</w:t>
      </w:r>
      <w:r w:rsidRPr="009A6BD2">
        <w:rPr>
          <w:rFonts w:ascii="Times New Roman" w:hAnsi="Times New Roman" w:cs="Times"/>
        </w:rPr>
        <w:t>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Une observation de Strehlow permet même de préciser la manière dont furent vraisem</w:t>
      </w:r>
      <w:r w:rsidRPr="009A6BD2">
        <w:rPr>
          <w:rFonts w:ascii="Times" w:hAnsi="Times New Roman" w:cs="Times"/>
        </w:rPr>
        <w:softHyphen/>
      </w:r>
      <w:r w:rsidRPr="009A6BD2">
        <w:rPr>
          <w:rFonts w:ascii="Times New Roman" w:hAnsi="Times New Roman" w:cs="Times"/>
        </w:rPr>
        <w:t>bla</w:t>
      </w:r>
      <w:r w:rsidRPr="009A6BD2">
        <w:rPr>
          <w:rFonts w:ascii="Times" w:hAnsi="Times New Roman" w:cs="Times"/>
        </w:rPr>
        <w:softHyphen/>
      </w:r>
      <w:r w:rsidRPr="009A6BD2">
        <w:rPr>
          <w:rFonts w:ascii="Times New Roman" w:hAnsi="Times New Roman" w:cs="Times"/>
        </w:rPr>
        <w:t>ble</w:t>
      </w:r>
      <w:r w:rsidRPr="009A6BD2">
        <w:rPr>
          <w:rFonts w:ascii="Times" w:hAnsi="Times New Roman" w:cs="Times"/>
        </w:rPr>
        <w:softHyphen/>
      </w:r>
      <w:r w:rsidRPr="009A6BD2">
        <w:rPr>
          <w:rFonts w:ascii="Times New Roman" w:hAnsi="Times New Roman" w:cs="Times"/>
        </w:rPr>
        <w:t>ment choisis ces emblèmes. Strehlow dit avoir remarqué que les centres totémiques sont le plus souvent situés à proximité d'une montagne, d'une source, d'une gor</w:t>
      </w:r>
      <w:r w:rsidRPr="009A6BD2">
        <w:rPr>
          <w:rFonts w:ascii="Times New Roman" w:hAnsi="Times New Roman" w:cs="Times"/>
        </w:rPr>
        <w:t>ge oh les animaux qui servent de totem au groupe se rencontrent en abondance, et il cite de ce fait un certain nombre d'exemples </w:t>
      </w:r>
      <w:r w:rsidRPr="009A6BD2">
        <w:rPr>
          <w:rStyle w:val="Rimandonotaapidipagina"/>
          <w:rFonts w:ascii="Times" w:hAnsi="Times New Roman" w:cs="Times"/>
        </w:rPr>
        <w:footnoteReference w:id="517"/>
      </w:r>
      <w:r w:rsidRPr="009A6BD2">
        <w:rPr>
          <w:rFonts w:ascii="Times New Roman" w:hAnsi="Times New Roman" w:cs="Times"/>
        </w:rPr>
        <w:t>. Or ces centres totémiques sont certainement les lieux consacrés où le clan tenait ses assises. Il semble donc bien que chaqu</w:t>
      </w:r>
      <w:r w:rsidRPr="009A6BD2">
        <w:rPr>
          <w:rFonts w:ascii="Times New Roman" w:hAnsi="Times New Roman" w:cs="Times"/>
        </w:rPr>
        <w:t>e groupe ait pris pour insigne l'animal ou le végétal qui était le plus répandu dans le voisinage de l'endroit où il avait l'habitude de s'assembler </w:t>
      </w:r>
      <w:r w:rsidRPr="009A6BD2">
        <w:rPr>
          <w:rStyle w:val="Rimandonotaapidipagina"/>
          <w:rFonts w:ascii="Times" w:hAnsi="Times New Roman" w:cs="Times"/>
        </w:rPr>
        <w:footnoteReference w:id="518"/>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pStyle w:val="section"/>
        <w:rPr>
          <w:rFonts w:ascii="Times New Roman" w:hAnsi="Times New Roman"/>
        </w:rPr>
      </w:pPr>
      <w:bookmarkStart w:id="43" w:name="livre_2_chap_7_6"/>
      <w:r w:rsidRPr="009A6BD2">
        <w:rPr>
          <w:rFonts w:ascii="Times New Roman" w:hAnsi="Times New Roman"/>
        </w:rPr>
        <w:t>VI</w:t>
      </w:r>
    </w:p>
    <w:bookmarkEnd w:id="43"/>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Cette théorie du totémisme va nous donner la clef d'un tr</w:t>
      </w:r>
      <w:r w:rsidRPr="009A6BD2">
        <w:rPr>
          <w:rFonts w:ascii="Times New Roman" w:hAnsi="Times New Roman" w:cs="Times"/>
        </w:rPr>
        <w:t>ait curieux de la mentalité humaine qui, s'il était plus marqué jadis qu'aujourd'hui, n'a pourtant pas disparu et qui, en tout cas, a joué un rôle considérable dans l'histoire de la pensée. Ce sera une nouvelle occa</w:t>
      </w:r>
      <w:r w:rsidRPr="009A6BD2">
        <w:rPr>
          <w:rFonts w:ascii="Times" w:hAnsi="Times New Roman" w:cs="Times"/>
        </w:rPr>
        <w:softHyphen/>
      </w:r>
      <w:r w:rsidRPr="009A6BD2">
        <w:rPr>
          <w:rFonts w:ascii="Times New Roman" w:hAnsi="Times New Roman" w:cs="Times"/>
        </w:rPr>
        <w:t>sion de constater que l'évolution logiqu</w:t>
      </w:r>
      <w:r w:rsidRPr="009A6BD2">
        <w:rPr>
          <w:rFonts w:ascii="Times New Roman" w:hAnsi="Times New Roman" w:cs="Times"/>
        </w:rPr>
        <w:t>e est étroitement solidaire de l'évolution religi</w:t>
      </w:r>
      <w:r w:rsidRPr="009A6BD2">
        <w:rPr>
          <w:rFonts w:ascii="Times" w:hAnsi="Times New Roman" w:cs="Times"/>
        </w:rPr>
        <w:softHyphen/>
      </w:r>
      <w:r w:rsidRPr="009A6BD2">
        <w:rPr>
          <w:rFonts w:ascii="Times New Roman" w:hAnsi="Times New Roman" w:cs="Times"/>
        </w:rPr>
        <w:t>euse et dépend, comme cette dernière, de conditions sociales </w:t>
      </w:r>
      <w:r w:rsidRPr="009A6BD2">
        <w:rPr>
          <w:rStyle w:val="Rimandonotaapidipagina"/>
          <w:rFonts w:ascii="Times" w:hAnsi="Times New Roman" w:cs="Times"/>
        </w:rPr>
        <w:footnoteReference w:id="51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S'il est une vérité qui nous apparaît aujourd'hui comme de toute évidence, c'est que des êtres qui diffèrent, non seulement par leur apparenc</w:t>
      </w:r>
      <w:r w:rsidRPr="009A6BD2">
        <w:rPr>
          <w:rFonts w:ascii="Times New Roman" w:hAnsi="Times New Roman" w:cs="Times"/>
        </w:rPr>
        <w:t>e extérieure, mais par leurs propriétés les plus essentielles, comme les minéraux, les plantes, les animaux, les hommes ne sauraient être considérés comme équivalents et comme directement substituables les uns aux autres. Un long usage, que la culture scie</w:t>
      </w:r>
      <w:r w:rsidRPr="009A6BD2">
        <w:rPr>
          <w:rFonts w:ascii="Times New Roman" w:hAnsi="Times New Roman" w:cs="Times"/>
        </w:rPr>
        <w:t>ntifique a encore plus fortement enraciné dans nos esprits, nous a appris à établir entre les divers règnes de la nature des barrières dont le transformisme lui-même ne nie pas l'existence ; car s'il admet que la vie a pu naître de la matière non vivante e</w:t>
      </w:r>
      <w:r w:rsidRPr="009A6BD2">
        <w:rPr>
          <w:rFonts w:ascii="Times New Roman" w:hAnsi="Times New Roman" w:cs="Times"/>
        </w:rPr>
        <w:t>t l'homme de l'animal, il ne méconnaît pas que les vivants, une fois formés, sont autre chose que des minéraux, l'homme autre chose qu'un animal. A l'intérieur de chaque règne, les mêmes barrières séparent les différentes classes : nous ne concevons pas co</w:t>
      </w:r>
      <w:r w:rsidRPr="009A6BD2">
        <w:rPr>
          <w:rFonts w:ascii="Times New Roman" w:hAnsi="Times New Roman" w:cs="Times"/>
        </w:rPr>
        <w:t>mment un miné</w:t>
      </w:r>
      <w:r w:rsidRPr="009A6BD2">
        <w:rPr>
          <w:rFonts w:ascii="Times" w:hAnsi="Times New Roman" w:cs="Times"/>
        </w:rPr>
        <w:softHyphen/>
      </w:r>
      <w:r w:rsidRPr="009A6BD2">
        <w:rPr>
          <w:rFonts w:ascii="Times New Roman" w:hAnsi="Times New Roman" w:cs="Times"/>
        </w:rPr>
        <w:t>ral pourrait avoir les caractères distinctifs d'un autre minéral, ou une espèce animale ceux d'une autre espèce. Mais ces distinctions, qui nous semblent si naturelles, n'ont rien de primitif. A l'origine, tous les règnes sont confondus les u</w:t>
      </w:r>
      <w:r w:rsidRPr="009A6BD2">
        <w:rPr>
          <w:rFonts w:ascii="Times New Roman" w:hAnsi="Times New Roman" w:cs="Times"/>
        </w:rPr>
        <w:t xml:space="preserve">ns dans les autres. Les rochers ont un sexe ; ils ont le pouvoir d'engendrer ; le soleil, la lune, les étoiles sont des hommes ou des femmes, qui éprouvent et qui expriment des sentiments humains, tandis que les hommes, au contraire, sont conçus comme des </w:t>
      </w:r>
      <w:r w:rsidRPr="009A6BD2">
        <w:rPr>
          <w:rFonts w:ascii="Times New Roman" w:hAnsi="Times New Roman" w:cs="Times"/>
        </w:rPr>
        <w:t>animaux ou des plantes. Cet état d'indistinction se retrouve à la base de toutes les mythologies. De là, le caractère ambigu des êtres que les mythes mettent en scène; on ne peut les classer dans aucun genre défini, car ils participent à la fois des genres</w:t>
      </w:r>
      <w:r w:rsidRPr="009A6BD2">
        <w:rPr>
          <w:rFonts w:ascii="Times New Roman" w:hAnsi="Times New Roman" w:cs="Times"/>
        </w:rPr>
        <w:t xml:space="preserve"> les plus opposés. Aussi admet-on sans peine qu'ils peuvent se transmuter les uns dans les autres ; et c'est par des transmutations de ce genre que les hommes, pendant longtemps, ont cru pouvoir expliquer la genèse des choses.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Que l'instinct anthropomorph</w:t>
      </w:r>
      <w:r w:rsidRPr="009A6BD2">
        <w:rPr>
          <w:rFonts w:ascii="Times New Roman" w:hAnsi="Times New Roman" w:cs="Times"/>
        </w:rPr>
        <w:t>ique dont les animistes ont doté le primitif ne puisse rendre compte de cette mentalité, c'est ce que démontre la nature des confusions qui la caractérisent. Elles viennent, en effet, non de ce que l'homme a démesurément étendu le règne humain au point d'y</w:t>
      </w:r>
      <w:r w:rsidRPr="009A6BD2">
        <w:rPr>
          <w:rFonts w:ascii="Times New Roman" w:hAnsi="Times New Roman" w:cs="Times"/>
        </w:rPr>
        <w:t xml:space="preserve"> faire rentrer tous les autres, mais de ce qu'il a mêlé les règnes les plus disparates. Il n'a pas plus conçu le monde à son image qu'il ne s'est conçu à l'image du monde : il a procédé de l'une et de l'autre manières à la fois. Dans l'idée qu'il se faisai</w:t>
      </w:r>
      <w:r w:rsidRPr="009A6BD2">
        <w:rPr>
          <w:rFonts w:ascii="Times New Roman" w:hAnsi="Times New Roman" w:cs="Times"/>
        </w:rPr>
        <w:t>t des choses, il a fait, sans doute, entrer des éléments humains ; mais, dans l'idée qu'il se faisait de lui-même, il a fait entrer des éléments qui lui venaient des choses.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Cependant, il n'y avait rien dans l'expérience qui pût lui suggérer de ces rappro</w:t>
      </w:r>
      <w:r w:rsidRPr="009A6BD2">
        <w:rPr>
          <w:rFonts w:ascii="Times New Roman" w:hAnsi="Times New Roman" w:cs="Times"/>
        </w:rPr>
        <w:t>chements ou de ces mélanges. Au regard de l'observation sensible, tout est divers et discontinu. Nulle part, dans la réalité, nous ne voyons les êtres mêler leur nature et se métamorphoser les uns dans les autres. Il faut donc qu'une cause exceptionnelleme</w:t>
      </w:r>
      <w:r w:rsidRPr="009A6BD2">
        <w:rPr>
          <w:rFonts w:ascii="Times New Roman" w:hAnsi="Times New Roman" w:cs="Times"/>
        </w:rPr>
        <w:t>nt puissante soit intervenue qui ait transfiguré le réel de manière à la faire apparaître sous un aspect qui n'est pas le sien.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la religion qui a été l'agent de cette transfiguration ; ce sont les croyances religieuses qui ont substitué au monde tel</w:t>
      </w:r>
      <w:r w:rsidRPr="009A6BD2">
        <w:rPr>
          <w:rFonts w:ascii="Times New Roman" w:hAnsi="Times New Roman" w:cs="Times"/>
        </w:rPr>
        <w:t xml:space="preserve"> que le perçoivent les sens, un monde différent. C'est ce que montre le cas du totémisme. Ce qu'il y a de fondamental dans cette religion, c'est que les gens du clan et les êtres divers dont l'emblème totémique reproduit la forme passent pour être faits de</w:t>
      </w:r>
      <w:r w:rsidRPr="009A6BD2">
        <w:rPr>
          <w:rFonts w:ascii="Times New Roman" w:hAnsi="Times New Roman" w:cs="Times"/>
        </w:rPr>
        <w:t xml:space="preserve"> la même essence. Or, une fois que cette croyance était admise, le pont était jeté entre les différents règnes. L'homme était représenté comme une sorte d'animal ou de plante : les plantes et les animaux comme des parents de l'homme, ou plutôt, tous ces êt</w:t>
      </w:r>
      <w:r w:rsidRPr="009A6BD2">
        <w:rPr>
          <w:rFonts w:ascii="Times New Roman" w:hAnsi="Times New Roman" w:cs="Times"/>
        </w:rPr>
        <w:t>res, si différents pour les sens, étaient conçus comme participant d'une même nature. Ainsi, cette remarquable aptitude à confondre ce qui nous semble si manifestement distinct vient de ce que les premières forces dont l'intelligence humaine a peuplé l'uni</w:t>
      </w:r>
      <w:r w:rsidRPr="009A6BD2">
        <w:rPr>
          <w:rFonts w:ascii="Times New Roman" w:hAnsi="Times New Roman" w:cs="Times"/>
        </w:rPr>
        <w:t>vers ont été élaborées par la religion. Parce qu'elles étaient faites d'éléments empruntés aux différents règnes, on en fit le principe commun des choses les plus hétérogènes, qui se trouvèrent ainsi dotées d'une seule et même essence.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nous savons, d</w:t>
      </w:r>
      <w:r w:rsidRPr="009A6BD2">
        <w:rPr>
          <w:rFonts w:ascii="Times New Roman" w:hAnsi="Times New Roman" w:cs="Times"/>
        </w:rPr>
        <w:t>'autre part, que ces conceptions religieuses sont le produit de causes sociales déterminées. Parce que le clan ne peut exister sans un nom et sans un emblème, parce que cet emblème est partout présent aux regards des individus, c'est sur lui et sur les obj</w:t>
      </w:r>
      <w:r w:rsidRPr="009A6BD2">
        <w:rPr>
          <w:rFonts w:ascii="Times New Roman" w:hAnsi="Times New Roman" w:cs="Times"/>
        </w:rPr>
        <w:t>ets dont il est l'image que se reportent les sentiments que la société éveille chez ses membres. Les hommes furent ainsi nécessités à se représenter la force collective dont ils sentaient l'action, sous les espèces de la chose qui servait de drapeau au gro</w:t>
      </w:r>
      <w:r w:rsidRPr="009A6BD2">
        <w:rPr>
          <w:rFonts w:ascii="Times New Roman" w:hAnsi="Times New Roman" w:cs="Times"/>
        </w:rPr>
        <w:t>upe. Dans la notion de cette force se trouvaient donc confondus les règnes les plus différents : en un sens, elle était essentiellement humaine puisqu'elle était faite d'idées et de sentiments humains ; mais en même temps, elle ne pouvait pas ne pas appara</w:t>
      </w:r>
      <w:r w:rsidRPr="009A6BD2">
        <w:rPr>
          <w:rFonts w:ascii="Times New Roman" w:hAnsi="Times New Roman" w:cs="Times"/>
        </w:rPr>
        <w:t>ître comme étroitement apparentée à l'être animé ou inanimé qui lui prêtait ses formes extérieures. La cause dont nous saisissons ici l'action n'est pas, d'ailleurs, particulière au seul totémisme; il n'est pas de société où elle n'agisse. D'une manière gé</w:t>
      </w:r>
      <w:r w:rsidRPr="009A6BD2">
        <w:rPr>
          <w:rFonts w:ascii="Times New Roman" w:hAnsi="Times New Roman" w:cs="Times"/>
        </w:rPr>
        <w:t>nérale, un sentiment collectif ne peut prendre conscience de soi qu'en se fixant sur un objet matériel </w:t>
      </w:r>
      <w:r w:rsidRPr="009A6BD2">
        <w:rPr>
          <w:rStyle w:val="Rimandonotaapidipagina"/>
          <w:rFonts w:ascii="Times" w:hAnsi="Times New Roman" w:cs="Times"/>
        </w:rPr>
        <w:footnoteReference w:id="520"/>
      </w:r>
      <w:r w:rsidRPr="009A6BD2">
        <w:rPr>
          <w:rFonts w:ascii="Times New Roman" w:hAnsi="Times New Roman" w:cs="Times"/>
        </w:rPr>
        <w:t xml:space="preserve"> ; mais et par cela même, il participe de la nature de cet objet et réciproquement. Ce sont donc des nécessités sociales qui ont fait fusionner ensemble</w:t>
      </w:r>
      <w:r w:rsidRPr="009A6BD2">
        <w:rPr>
          <w:rFonts w:ascii="Times New Roman" w:hAnsi="Times New Roman" w:cs="Times"/>
        </w:rPr>
        <w:t xml:space="preserve"> des notions qui, au premier abord, paraissaient distinctes, et la vie sociale a facilité cette fusion par la grande effervescence mentale qu'elle détermine </w:t>
      </w:r>
      <w:r w:rsidRPr="009A6BD2">
        <w:rPr>
          <w:rStyle w:val="Rimandonotaapidipagina"/>
          <w:rFonts w:ascii="Times" w:hAnsi="Times New Roman" w:cs="Times"/>
        </w:rPr>
        <w:footnoteReference w:id="521"/>
      </w:r>
      <w:r w:rsidRPr="009A6BD2">
        <w:rPr>
          <w:rFonts w:ascii="Times New Roman" w:hAnsi="Times New Roman" w:cs="Times"/>
        </w:rPr>
        <w:t xml:space="preserve">. C'est une preuve nouvelle que l'entendement logique est fonction de la société, puisqu'il prend </w:t>
      </w:r>
      <w:r w:rsidRPr="009A6BD2">
        <w:rPr>
          <w:rFonts w:ascii="Times New Roman" w:hAnsi="Times New Roman" w:cs="Times"/>
        </w:rPr>
        <w:t>les formes et les attitudes que celle-ci lui imprime.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Cette logique, il est vrai, nous déconcerte. Il faut pourtant se garder de la déprécier : si gros</w:t>
      </w:r>
      <w:r w:rsidRPr="009A6BD2">
        <w:rPr>
          <w:rFonts w:ascii="Times" w:hAnsi="Times New Roman" w:cs="Times"/>
        </w:rPr>
        <w:softHyphen/>
      </w:r>
      <w:r w:rsidRPr="009A6BD2">
        <w:rPr>
          <w:rFonts w:ascii="Times New Roman" w:hAnsi="Times New Roman" w:cs="Times"/>
        </w:rPr>
        <w:t>sière qu'elle puisse nous paraître, elle constituait, pour l'évolution intellectuelle de l'hu</w:t>
      </w:r>
      <w:r w:rsidRPr="009A6BD2">
        <w:rPr>
          <w:rFonts w:ascii="Times" w:hAnsi="Times New Roman" w:cs="Times"/>
        </w:rPr>
        <w:softHyphen/>
      </w:r>
      <w:r w:rsidRPr="009A6BD2">
        <w:rPr>
          <w:rFonts w:ascii="Times New Roman" w:hAnsi="Times New Roman" w:cs="Times"/>
        </w:rPr>
        <w:t>ma</w:t>
      </w:r>
      <w:r w:rsidRPr="009A6BD2">
        <w:rPr>
          <w:rFonts w:ascii="Times" w:hAnsi="Times New Roman" w:cs="Times"/>
        </w:rPr>
        <w:softHyphen/>
      </w:r>
      <w:r w:rsidRPr="009A6BD2">
        <w:rPr>
          <w:rFonts w:ascii="Times New Roman" w:hAnsi="Times New Roman" w:cs="Times"/>
        </w:rPr>
        <w:t xml:space="preserve">nité, </w:t>
      </w:r>
      <w:r w:rsidRPr="009A6BD2">
        <w:rPr>
          <w:rFonts w:ascii="Times New Roman" w:hAnsi="Times New Roman" w:cs="Times"/>
        </w:rPr>
        <w:t>un apport de la plus haute importance. C'est par elle, en effet, qu'a été possible une première explication du monde. Sans doute, les habitudes mentales qu'elle implique empê</w:t>
      </w:r>
      <w:r w:rsidRPr="009A6BD2">
        <w:rPr>
          <w:rFonts w:ascii="Times" w:hAnsi="Times New Roman" w:cs="Times"/>
        </w:rPr>
        <w:softHyphen/>
      </w:r>
      <w:r w:rsidRPr="009A6BD2">
        <w:rPr>
          <w:rFonts w:ascii="Times New Roman" w:hAnsi="Times New Roman" w:cs="Times"/>
        </w:rPr>
        <w:t>chaient l'homme de voir la réalité telle que la lui montrent les sens ; mais tell</w:t>
      </w:r>
      <w:r w:rsidRPr="009A6BD2">
        <w:rPr>
          <w:rFonts w:ascii="Times New Roman" w:hAnsi="Times New Roman" w:cs="Times"/>
        </w:rPr>
        <w:t>es qu'ils la lui montrent, elle a le grave inconvénient d'être réfractaire à toute explication. Car expliquer, c'est rattacher les choses les unes aux autres, c'est établir entre elles des relations qui nous les fassent apparaître comme fonction les unes d</w:t>
      </w:r>
      <w:r w:rsidRPr="009A6BD2">
        <w:rPr>
          <w:rFonts w:ascii="Times New Roman" w:hAnsi="Times New Roman" w:cs="Times"/>
        </w:rPr>
        <w:t>es autres, comme vibrant sympathiquement suivant une loi intérieure, fondée dans leur nature. Or ces relations et ces liens internes, la sensation, qui ne voit rien que du dehors, ne saurait nous les faire découvrir ; l'esprit seul peut en créer la notion.</w:t>
      </w:r>
      <w:r w:rsidRPr="009A6BD2">
        <w:rPr>
          <w:rFonts w:ascii="Times New Roman" w:hAnsi="Times New Roman" w:cs="Times"/>
        </w:rPr>
        <w:t xml:space="preserve"> Quand j'apprends que A précède régulièrement B, ma connaissance s'est enrichie d'un nouveau savoir ; mon intelligence n'est aucunement satisfaite par une constatation qui ne porte pas en elle sa raison. je ne commence </w:t>
      </w:r>
      <w:r w:rsidRPr="009A6BD2">
        <w:rPr>
          <w:rFonts w:ascii="Times New Roman" w:hAnsi="Times New Roman" w:cs="Times"/>
          <w:i/>
          <w:iCs/>
        </w:rPr>
        <w:t xml:space="preserve">à comprendre </w:t>
      </w:r>
      <w:r w:rsidRPr="009A6BD2">
        <w:rPr>
          <w:rFonts w:ascii="Times New Roman" w:hAnsi="Times New Roman" w:cs="Times"/>
        </w:rPr>
        <w:t xml:space="preserve">que s'il m'est possible </w:t>
      </w:r>
      <w:r w:rsidRPr="009A6BD2">
        <w:rPr>
          <w:rFonts w:ascii="Times New Roman" w:hAnsi="Times New Roman" w:cs="Times"/>
        </w:rPr>
        <w:t xml:space="preserve">de concevoir B par un biais qui me le fasse apparaître comme n'étant pas étranger </w:t>
      </w:r>
      <w:r w:rsidRPr="009A6BD2">
        <w:rPr>
          <w:rFonts w:ascii="Times New Roman" w:hAnsi="Times New Roman" w:cs="Times"/>
          <w:i/>
          <w:iCs/>
        </w:rPr>
        <w:t xml:space="preserve">à </w:t>
      </w:r>
      <w:r w:rsidRPr="009A6BD2">
        <w:rPr>
          <w:rFonts w:ascii="Times New Roman" w:hAnsi="Times New Roman" w:cs="Times"/>
        </w:rPr>
        <w:t xml:space="preserve">A, comme uni </w:t>
      </w:r>
      <w:r w:rsidRPr="009A6BD2">
        <w:rPr>
          <w:rFonts w:ascii="Times New Roman" w:hAnsi="Times New Roman" w:cs="Times"/>
          <w:i/>
          <w:iCs/>
        </w:rPr>
        <w:t xml:space="preserve">à </w:t>
      </w:r>
      <w:r w:rsidRPr="009A6BD2">
        <w:rPr>
          <w:rFonts w:ascii="Times New Roman" w:hAnsi="Times New Roman" w:cs="Times"/>
        </w:rPr>
        <w:t xml:space="preserve">A par quelque rapport de parenté. Le grand service que les religions ont rendu </w:t>
      </w:r>
      <w:r w:rsidRPr="009A6BD2">
        <w:rPr>
          <w:rFonts w:ascii="Times New Roman" w:hAnsi="Times New Roman" w:cs="Times"/>
          <w:i/>
          <w:iCs/>
        </w:rPr>
        <w:t xml:space="preserve">à </w:t>
      </w:r>
      <w:r w:rsidRPr="009A6BD2">
        <w:rPr>
          <w:rFonts w:ascii="Times New Roman" w:hAnsi="Times New Roman" w:cs="Times"/>
        </w:rPr>
        <w:t>la pensée est d'avoir construit une première représentation de ce que pouvai</w:t>
      </w:r>
      <w:r w:rsidRPr="009A6BD2">
        <w:rPr>
          <w:rFonts w:ascii="Times New Roman" w:hAnsi="Times New Roman" w:cs="Times"/>
        </w:rPr>
        <w:t>ent être ces rapports de parenté entre les choses. Dans les conditions où elle était tentée, l'entreprise ne pouvait évidemment aboutir qu'à des résultats précaires. Mais d'abord, en produit-elle jamais qui soient définitifs et n'est-il pas nécessaire de l</w:t>
      </w:r>
      <w:r w:rsidRPr="009A6BD2">
        <w:rPr>
          <w:rFonts w:ascii="Times New Roman" w:hAnsi="Times New Roman" w:cs="Times"/>
        </w:rPr>
        <w:t>a reprendre sans cesse ? Et puis, ce qui importait, c'était moins de la réussir que de l'oser. L'essentiel était de ne pas laisser l'esprit asservi aux apparences sensibles, mais, au contraire, de lui apprendre à les dominer et à rapprocher ce que les sens</w:t>
      </w:r>
      <w:r w:rsidRPr="009A6BD2">
        <w:rPr>
          <w:rFonts w:ascii="Times New Roman" w:hAnsi="Times New Roman" w:cs="Times"/>
        </w:rPr>
        <w:t xml:space="preserve"> séparent ; car du moment où l'homme eut le sentiment qu'il existe des connexions internes entre les choses, la science et la philosophie devenaient possibles. La religion leur a frayé la voie. Mais si elle a pu jouer ce rôle, c'est parce qu'elle est chose</w:t>
      </w:r>
      <w:r w:rsidRPr="009A6BD2">
        <w:rPr>
          <w:rFonts w:ascii="Times New Roman" w:hAnsi="Times New Roman" w:cs="Times"/>
        </w:rPr>
        <w:t xml:space="preserve"> sociale. Pour faire la loi aux impressions des sens et leur substituer une manière nouvelle de se représenter le réel, il fallait qu'une pensée d'un genre nouveau se constituât : c'est la pensée collective. Si seule, elle pouvait avoir cette efficacité, c</w:t>
      </w:r>
      <w:r w:rsidRPr="009A6BD2">
        <w:rPr>
          <w:rFonts w:ascii="Times New Roman" w:hAnsi="Times New Roman" w:cs="Times"/>
        </w:rPr>
        <w:t>'est que, pour créer tout un monde d'idéaux à travers lequel le monde des réalités senties apparût transfiguré, il fallait une surexcitation des forces intellectuelles qui n'est possible que dans et par la société.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s'en faut donc que cette mentalité so</w:t>
      </w:r>
      <w:r w:rsidRPr="009A6BD2">
        <w:rPr>
          <w:rFonts w:ascii="Times New Roman" w:hAnsi="Times New Roman" w:cs="Times"/>
        </w:rPr>
        <w:t>it sans rapports avec la nôtre. Notre logique est née de cette logique. Les explications de la science contemporaine sont plus assurées d'être objectives, parce qu'elles sont plus méthodiques, parce qu'elles reposent sur des observations plus sévèrement co</w:t>
      </w:r>
      <w:r w:rsidRPr="009A6BD2">
        <w:rPr>
          <w:rFonts w:ascii="Times New Roman" w:hAnsi="Times New Roman" w:cs="Times"/>
        </w:rPr>
        <w:t>ntrôlées, mais elles ne diffèrent pas en nature de celles qui satisfont la pensée primitive. Aujourd'hui comme autrefois, expliquer, c'est montrer comment une chose participe d'un ou de plusieurs autres. On a dit que les participations dont les mythologies</w:t>
      </w:r>
      <w:r w:rsidRPr="009A6BD2">
        <w:rPr>
          <w:rFonts w:ascii="Times New Roman" w:hAnsi="Times New Roman" w:cs="Times"/>
        </w:rPr>
        <w:t xml:space="preserve"> postulent l'existence violent le principe de contradiction et que, par là, elles s'opposent à celles qu'impliquent les explications scientifiques </w:t>
      </w:r>
      <w:r w:rsidRPr="009A6BD2">
        <w:rPr>
          <w:rStyle w:val="Rimandonotaapidipagina"/>
          <w:rFonts w:ascii="Times" w:hAnsi="Times New Roman" w:cs="Times"/>
        </w:rPr>
        <w:footnoteReference w:id="522"/>
      </w:r>
      <w:r w:rsidRPr="009A6BD2">
        <w:rPr>
          <w:rFonts w:ascii="Times New Roman" w:hAnsi="Times New Roman" w:cs="Times"/>
        </w:rPr>
        <w:t>. Poser qu'un homme est un kangourou, que le soleil est un oiseau, n'est-ce pas identifier le même et l'autr</w:t>
      </w:r>
      <w:r w:rsidRPr="009A6BD2">
        <w:rPr>
          <w:rFonts w:ascii="Times New Roman" w:hAnsi="Times New Roman" w:cs="Times"/>
        </w:rPr>
        <w:t>e ? Mais nous ne pensons pas d'une autre manière quand nous disons de la chaleur qu'elle est un mouvement, de la lumière qu'elle est une vibration de l'éther, etc. Toutes les fois que nous unissons par un lien interne des termes hétérogènes, nous identifio</w:t>
      </w:r>
      <w:r w:rsidRPr="009A6BD2">
        <w:rPr>
          <w:rFonts w:ascii="Times New Roman" w:hAnsi="Times New Roman" w:cs="Times"/>
        </w:rPr>
        <w:t>ns forcément des contraires. Sans doute, les termes que nous unissons ainsi ne sont pas ceux que rapproche l'Australien; nous les choisissons d'après d'autres critères et pour d'autres raisons ; mais la démarche même par laquelle l'esprit les met en rappor</w:t>
      </w:r>
      <w:r w:rsidRPr="009A6BD2">
        <w:rPr>
          <w:rFonts w:ascii="Times New Roman" w:hAnsi="Times New Roman" w:cs="Times"/>
        </w:rPr>
        <w:t>ts ne diffère pas essentiellement.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est vrai que, si la pensée primitive avait pour la contradiction l'espèce d'indifférence générale et systématique qu'on lui a prêtée </w:t>
      </w:r>
      <w:r w:rsidRPr="009A6BD2">
        <w:rPr>
          <w:rStyle w:val="Rimandonotaapidipagina"/>
          <w:rFonts w:ascii="Times" w:hAnsi="Times New Roman" w:cs="Times"/>
        </w:rPr>
        <w:footnoteReference w:id="523"/>
      </w:r>
      <w:r w:rsidRPr="009A6BD2">
        <w:rPr>
          <w:rFonts w:ascii="Times New Roman" w:hAnsi="Times New Roman" w:cs="Times"/>
        </w:rPr>
        <w:t>, elle contrasterait, sur ce point, et d'une manière accusée, avec la pensée modern</w:t>
      </w:r>
      <w:r w:rsidRPr="009A6BD2">
        <w:rPr>
          <w:rFonts w:ascii="Times New Roman" w:hAnsi="Times New Roman" w:cs="Times"/>
        </w:rPr>
        <w:t>e, toujours soucieuse de rester d'accord avec elle-même. Mais nous ne croyons pas qu'il soit possible de caractériser la mentalité des sociétés inférieures par une sorte de penchant unilatéral et exclusif pour l'indistinction. Si le primitif confond des ch</w:t>
      </w:r>
      <w:r w:rsidRPr="009A6BD2">
        <w:rPr>
          <w:rFonts w:ascii="Times New Roman" w:hAnsi="Times New Roman" w:cs="Times"/>
        </w:rPr>
        <w:t>oses que nous distinguons, inversement, il en distingue d'autres que nous rapprochons et il conçoit même ces distinctions sous la forme d'oppositions violentes et tranchées. Entre deux êtres qui sont classés dans deux phratries différentes, il n'y a pas se</w:t>
      </w:r>
      <w:r w:rsidRPr="009A6BD2">
        <w:rPr>
          <w:rFonts w:ascii="Times New Roman" w:hAnsi="Times New Roman" w:cs="Times"/>
        </w:rPr>
        <w:t>ulement séparation, mais antagonisme </w:t>
      </w:r>
      <w:r w:rsidRPr="009A6BD2">
        <w:rPr>
          <w:rStyle w:val="Rimandonotaapidipagina"/>
          <w:rFonts w:ascii="Times" w:hAnsi="Times New Roman" w:cs="Times"/>
        </w:rPr>
        <w:footnoteReference w:id="524"/>
      </w:r>
      <w:r w:rsidRPr="009A6BD2">
        <w:rPr>
          <w:rFonts w:ascii="Times New Roman" w:hAnsi="Times New Roman" w:cs="Times"/>
        </w:rPr>
        <w:t>. Pour cette raison, le même Australien qui confond le soleil et le kakatoès blanc, oppose ce dernier au kakatoès noir comme à son contraire. L'un et l'autre lui paraissent ressortir à deux genres séparés entre lesquel</w:t>
      </w:r>
      <w:r w:rsidRPr="009A6BD2">
        <w:rPr>
          <w:rFonts w:ascii="Times New Roman" w:hAnsi="Times New Roman" w:cs="Times"/>
        </w:rPr>
        <w:t>s il n'y a rien de commun. Une opposition encore plus marquée est celle qui existe entre choses sacrées et choses profanes. Elle se repoussent et se contredisent avec une telle force que l'esprit se refuse à les penser en même temps. Elles se chassent mutu</w:t>
      </w:r>
      <w:r w:rsidRPr="009A6BD2">
        <w:rPr>
          <w:rFonts w:ascii="Times New Roman" w:hAnsi="Times New Roman" w:cs="Times"/>
        </w:rPr>
        <w:t>ellement de la conscience.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entre la logique de la pensée religieuse et la logique de la pensée scientifique il n'y a pas un abîme. L'une et l'autre sont faites des mêmes éléments essentiels, mais inégalement et différemment développés. Ce qui paraî</w:t>
      </w:r>
      <w:r w:rsidRPr="009A6BD2">
        <w:rPr>
          <w:rFonts w:ascii="Times New Roman" w:hAnsi="Times New Roman" w:cs="Times"/>
        </w:rPr>
        <w:t>t surtout caractériser la première, c'est un goût naturel aussi bien pour les confusions intempérantes que pour les contrastes heurtés. Elle est volontiers excessive dans les deux sens. Quand elle rapproche, elle confond; quand elle distingue, elle oppose.</w:t>
      </w:r>
      <w:r w:rsidRPr="009A6BD2">
        <w:rPr>
          <w:rFonts w:ascii="Times New Roman" w:hAnsi="Times New Roman" w:cs="Times"/>
        </w:rPr>
        <w:t xml:space="preserve"> Elle ne connaît pas la mesure et les nuances, elle recherche les extrêmes ; elle emploie, par suite, les mécanismes logiques avec une sorte de gaucherie, mais elle n'en ignore aucun.</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44" w:name="livre_2_chap_8"/>
      <w:r w:rsidRPr="009A6BD2">
        <w:rPr>
          <w:rFonts w:ascii="Times New Roman" w:hAnsi="Times New Roman"/>
        </w:rPr>
        <w:t>CHAPITRE VIII</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LA NOTION D'ÂME</w:t>
      </w:r>
    </w:p>
    <w:bookmarkEnd w:id="44"/>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avons étudié, dans les cha</w:t>
      </w:r>
      <w:r w:rsidRPr="009A6BD2">
        <w:rPr>
          <w:rFonts w:ascii="Times New Roman" w:hAnsi="Times New Roman" w:cs="Times"/>
        </w:rPr>
        <w:t>pitres qui précèdent, les principes fondamentaux de la religion totémique. On a pu voir que toute idée d'âme, d'esprit, de personnage mythique en est absente. Cependant, si la notion d'êtres spirituels n'est pas à la base du totémisme ni, par conséquent, d</w:t>
      </w:r>
      <w:r w:rsidRPr="009A6BD2">
        <w:rPr>
          <w:rFonts w:ascii="Times New Roman" w:hAnsi="Times New Roman" w:cs="Times"/>
        </w:rPr>
        <w:t>e la pensée religieuse en général, il n'y a pas de religion où cette notion ne se rencontre. Il importe donc de rechercher comment elle s'est constituée. Pour être assuré qu'elle est le produit d'une formation secondaire, il nous faut établir de quelle man</w:t>
      </w:r>
      <w:r w:rsidRPr="009A6BD2">
        <w:rPr>
          <w:rFonts w:ascii="Times New Roman" w:hAnsi="Times New Roman" w:cs="Times"/>
        </w:rPr>
        <w:t>ière elle est dérivée des conceptions plus essentielles que nous avons précédemment exposées et expliquées.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Parmi les êtres spirituels, il en est un qui doit tout d'abord retenir notre attention parce qu'il est le prototype d'après lequel les autres ont é</w:t>
      </w:r>
      <w:r w:rsidRPr="009A6BD2">
        <w:rPr>
          <w:rFonts w:ascii="Times New Roman" w:hAnsi="Times New Roman" w:cs="Times"/>
        </w:rPr>
        <w:t>té construits : c'est l'âme.</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45" w:name="livre_2_chap_8_1"/>
      <w:r w:rsidRPr="009A6BD2">
        <w:rPr>
          <w:rFonts w:ascii="Times New Roman" w:hAnsi="Times New Roman"/>
        </w:rPr>
        <w:t>I</w:t>
      </w:r>
    </w:p>
    <w:bookmarkEnd w:id="45"/>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w:hAnsi="Times New Roman" w:cs="Times"/>
          <w:szCs w:val="20"/>
          <w:effect w:val="none"/>
        </w:rPr>
      </w:r>
      <w:r w:rsidRPr="009A6BD2">
        <w:rPr>
          <w:rFonts w:ascii="Times"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De même qu'il n'y a pas de société connue sans religion, il n'en existe pas, si grossiè</w:t>
      </w:r>
      <w:r w:rsidRPr="009A6BD2">
        <w:rPr>
          <w:rFonts w:ascii="Times" w:hAnsi="Times New Roman" w:cs="Times"/>
        </w:rPr>
        <w:softHyphen/>
      </w:r>
      <w:r w:rsidRPr="009A6BD2">
        <w:rPr>
          <w:rFonts w:ascii="Times New Roman" w:hAnsi="Times New Roman" w:cs="Times"/>
        </w:rPr>
        <w:t>rement organisée soit-elle, où l'on ne trouve tout un système de représentations collectives q</w:t>
      </w:r>
      <w:r w:rsidRPr="009A6BD2">
        <w:rPr>
          <w:rFonts w:ascii="Times New Roman" w:hAnsi="Times New Roman" w:cs="Times"/>
        </w:rPr>
        <w:t>ui se rapportent à l'âme, à son origine, à sa destinée. Autant qu'on en peut juger d'après les données de l'ethnographie, l'idée d'âme paraît avoir été contemporaine de l'humanité, et elle semble bien avoir eu, d'emblée, tous, ses caractères essentiels, si</w:t>
      </w:r>
      <w:r w:rsidRPr="009A6BD2">
        <w:rPr>
          <w:rFonts w:ascii="Times New Roman" w:hAnsi="Times New Roman" w:cs="Times"/>
        </w:rPr>
        <w:t xml:space="preserve"> bien que l’œuvre des religions plus avancées et de la philo</w:t>
      </w:r>
      <w:r w:rsidRPr="009A6BD2">
        <w:rPr>
          <w:rFonts w:ascii="Times" w:hAnsi="Times New Roman" w:cs="Times"/>
        </w:rPr>
        <w:softHyphen/>
      </w:r>
      <w:r w:rsidRPr="009A6BD2">
        <w:rPr>
          <w:rFonts w:ascii="Times New Roman" w:hAnsi="Times New Roman" w:cs="Times"/>
        </w:rPr>
        <w:t>so</w:t>
      </w:r>
      <w:r w:rsidRPr="009A6BD2">
        <w:rPr>
          <w:rFonts w:ascii="Times" w:hAnsi="Times New Roman" w:cs="Times"/>
        </w:rPr>
        <w:softHyphen/>
      </w:r>
      <w:r w:rsidRPr="009A6BD2">
        <w:rPr>
          <w:rFonts w:ascii="Times New Roman" w:hAnsi="Times New Roman" w:cs="Times"/>
        </w:rPr>
        <w:t>phie s'est à peu près bornée à l'épurer, sans y rien ajouter de vraiment fondamental. Toutes les sociétés australiennes admettent, en effet, que chaque corps humain abrite un être intérieur, p</w:t>
      </w:r>
      <w:r w:rsidRPr="009A6BD2">
        <w:rPr>
          <w:rFonts w:ascii="Times New Roman" w:hAnsi="Times New Roman" w:cs="Times"/>
        </w:rPr>
        <w:t>rincipe de la vie qui l'anime : c'est l'âme. Il arrive, il est vrai, que les femmes font exception à la règle générale: il y a des tribus où elles passent pour n'avoir point d'âme </w:t>
      </w:r>
      <w:r w:rsidRPr="009A6BD2">
        <w:rPr>
          <w:rStyle w:val="Rimandonotaapidipagina"/>
          <w:rFonts w:ascii="Times" w:hAnsi="Times New Roman" w:cs="Times"/>
        </w:rPr>
        <w:footnoteReference w:id="525"/>
      </w:r>
      <w:r w:rsidRPr="009A6BD2">
        <w:rPr>
          <w:rFonts w:ascii="Times New Roman" w:hAnsi="Times New Roman" w:cs="Times"/>
        </w:rPr>
        <w:t>. S'il faut en croire Dawson, il en serait de même des enfants en bas âge d</w:t>
      </w:r>
      <w:r w:rsidRPr="009A6BD2">
        <w:rPr>
          <w:rFonts w:ascii="Times New Roman" w:hAnsi="Times New Roman" w:cs="Times"/>
        </w:rPr>
        <w:t>ans les tribus qu'il a observées </w:t>
      </w:r>
      <w:r w:rsidRPr="009A6BD2">
        <w:rPr>
          <w:rStyle w:val="Rimandonotaapidipagina"/>
          <w:rFonts w:ascii="Times" w:hAnsi="Times New Roman" w:cs="Times"/>
        </w:rPr>
        <w:footnoteReference w:id="526"/>
      </w:r>
      <w:r w:rsidRPr="009A6BD2">
        <w:rPr>
          <w:rFonts w:ascii="Times New Roman" w:hAnsi="Times New Roman" w:cs="Times"/>
        </w:rPr>
        <w:t>. Mais ce sont là des cas exceptionnels, vraisemblablement tardifs </w:t>
      </w:r>
      <w:r w:rsidRPr="009A6BD2">
        <w:rPr>
          <w:rStyle w:val="Rimandonotaapidipagina"/>
          <w:rFonts w:ascii="Times" w:hAnsi="Times New Roman" w:cs="Times"/>
        </w:rPr>
        <w:footnoteReference w:id="527"/>
      </w:r>
      <w:r w:rsidRPr="009A6BD2">
        <w:rPr>
          <w:rFonts w:ascii="Times New Roman" w:hAnsi="Times New Roman" w:cs="Times"/>
        </w:rPr>
        <w:t xml:space="preserve"> ; le dernier paraît même suspect et pourrait bien être dû à une interprétation erronée des faits </w:t>
      </w:r>
      <w:r w:rsidRPr="009A6BD2">
        <w:rPr>
          <w:rStyle w:val="Rimandonotaapidipagina"/>
          <w:rFonts w:ascii="Times" w:hAnsi="Times New Roman" w:cs="Times"/>
        </w:rPr>
        <w:footnoteReference w:id="52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est malaisé de déterminer l'idée que l'Australien</w:t>
      </w:r>
      <w:r w:rsidRPr="009A6BD2">
        <w:rPr>
          <w:rFonts w:ascii="Times New Roman" w:hAnsi="Times New Roman" w:cs="Times"/>
        </w:rPr>
        <w:t xml:space="preserve"> se fait de l'âme, tant elle est obscure et flottante, et l'on ne saurait s'en étonner. Si l'on demandait à nos contemporains à ceux mêmes qui croient le plus fermement à l'existence de l'âme, de quelle manière ils se la représentent, les réponses que l'on</w:t>
      </w:r>
      <w:r w:rsidRPr="009A6BD2">
        <w:rPr>
          <w:rFonts w:ascii="Times New Roman" w:hAnsi="Times New Roman" w:cs="Times"/>
        </w:rPr>
        <w:t xml:space="preserve"> obtiendrait n'auraient pas beaucoup plus de cohérence et de précision. C'est qu'il s'agit d'une notion très complexe, où entrent une multitude d'impressions mal analysées dont l'élaboration s'est poursuivie pendant des siècles, sans que les hommes en aien</w:t>
      </w:r>
      <w:r w:rsidRPr="009A6BD2">
        <w:rPr>
          <w:rFonts w:ascii="Times New Roman" w:hAnsi="Times New Roman" w:cs="Times"/>
        </w:rPr>
        <w:t>t eu une claire conscience. Voici pourtant les caractères les plus essentiels, souvent contradictoires d'ailleurs, par lesquels elle se définit.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Dans un certain nombre de cas, on nous dit qu'elle a l'aspect extérieur du corps </w:t>
      </w:r>
      <w:r w:rsidRPr="009A6BD2">
        <w:rPr>
          <w:rStyle w:val="Rimandonotaapidipagina"/>
          <w:rFonts w:ascii="Times" w:hAnsi="Times New Roman" w:cs="Times"/>
        </w:rPr>
        <w:footnoteReference w:id="529"/>
      </w:r>
      <w:r w:rsidRPr="009A6BD2">
        <w:rPr>
          <w:rFonts w:ascii="Times New Roman" w:hAnsi="Times New Roman" w:cs="Times"/>
        </w:rPr>
        <w:t>. Mais il arrive aussi qu'on</w:t>
      </w:r>
      <w:r w:rsidRPr="009A6BD2">
        <w:rPr>
          <w:rFonts w:ascii="Times New Roman" w:hAnsi="Times New Roman" w:cs="Times"/>
        </w:rPr>
        <w:t xml:space="preserve"> se la représente comme de la grosseur d'un grain de sable ; elle aurait des dimensions tellement réduites qu'elle pourrait passer par les moindres crevasses et les plus petites fissures </w:t>
      </w:r>
      <w:r w:rsidRPr="009A6BD2">
        <w:rPr>
          <w:rStyle w:val="Rimandonotaapidipagina"/>
          <w:rFonts w:ascii="Times" w:hAnsi="Times New Roman" w:cs="Times"/>
        </w:rPr>
        <w:footnoteReference w:id="530"/>
      </w:r>
      <w:r w:rsidRPr="009A6BD2">
        <w:rPr>
          <w:rFonts w:ascii="Times New Roman" w:hAnsi="Times New Roman" w:cs="Times"/>
        </w:rPr>
        <w:t>. Nous verrons qu'elle est, en même temps, conçue sous des espèces a</w:t>
      </w:r>
      <w:r w:rsidRPr="009A6BD2">
        <w:rPr>
          <w:rFonts w:ascii="Times New Roman" w:hAnsi="Times New Roman" w:cs="Times"/>
        </w:rPr>
        <w:t>ni</w:t>
      </w:r>
      <w:r w:rsidRPr="009A6BD2">
        <w:rPr>
          <w:rFonts w:ascii="Times" w:hAnsi="Times New Roman" w:cs="Times"/>
        </w:rPr>
        <w:softHyphen/>
      </w:r>
      <w:r w:rsidRPr="009A6BD2">
        <w:rPr>
          <w:rFonts w:ascii="Times New Roman" w:hAnsi="Times New Roman" w:cs="Times"/>
        </w:rPr>
        <w:t>males. C'est dire que la forme en est essentiellement inconsistante et indéterminée </w:t>
      </w:r>
      <w:r w:rsidRPr="009A6BD2">
        <w:rPr>
          <w:rStyle w:val="Rimandonotaapidipagina"/>
          <w:rFonts w:ascii="Times" w:hAnsi="Times New Roman" w:cs="Times"/>
        </w:rPr>
        <w:footnoteReference w:id="531"/>
      </w:r>
      <w:r w:rsidRPr="009A6BD2">
        <w:rPr>
          <w:rFonts w:ascii="Times New Roman" w:hAnsi="Times New Roman" w:cs="Times"/>
        </w:rPr>
        <w:t xml:space="preserve"> ; elle se modifie d'un instant à l'autre au gré des circonstances, suivant les exigences du mythe et du rite. La substance dont elle est faite n'est pas moins indéfini</w:t>
      </w:r>
      <w:r w:rsidRPr="009A6BD2">
        <w:rPr>
          <w:rFonts w:ascii="Times New Roman" w:hAnsi="Times New Roman" w:cs="Times"/>
        </w:rPr>
        <w:t>ssable. Elle n'est pas sans matière puisqu'elle a une forme, si vague soit-elle. Et en effet, même pendant cette vie, elle a des besoins physiques : elle mange, et inversement, elle peut être mangée. Il arrive qu'elle sort du corps et, au cours de ses voya</w:t>
      </w:r>
      <w:r w:rsidRPr="009A6BD2">
        <w:rPr>
          <w:rFonts w:ascii="Times New Roman" w:hAnsi="Times New Roman" w:cs="Times"/>
        </w:rPr>
        <w:t>ges, elle se repaît parfois d'âmes étrangères </w:t>
      </w:r>
      <w:r w:rsidRPr="009A6BD2">
        <w:rPr>
          <w:rStyle w:val="Rimandonotaapidipagina"/>
          <w:rFonts w:ascii="Times" w:hAnsi="Times New Roman" w:cs="Times"/>
        </w:rPr>
        <w:footnoteReference w:id="532"/>
      </w:r>
      <w:r w:rsidRPr="009A6BD2">
        <w:rPr>
          <w:rFonts w:ascii="Times New Roman" w:hAnsi="Times New Roman" w:cs="Times"/>
        </w:rPr>
        <w:t>. Une fois qu'elle est complètement affranchie de l'organisme, elle est censée mener une vie tout à fait analogue à celle qu'elle menait sur cette terre : elle boit, mange, chasse, etc. </w:t>
      </w:r>
      <w:r w:rsidRPr="009A6BD2">
        <w:rPr>
          <w:rStyle w:val="Rimandonotaapidipagina"/>
          <w:rFonts w:ascii="Times" w:hAnsi="Times New Roman" w:cs="Times"/>
        </w:rPr>
        <w:footnoteReference w:id="533"/>
      </w:r>
      <w:r w:rsidRPr="009A6BD2">
        <w:rPr>
          <w:rFonts w:ascii="Times New Roman" w:hAnsi="Times New Roman" w:cs="Times"/>
        </w:rPr>
        <w:t xml:space="preserve"> Quand elle volette da</w:t>
      </w:r>
      <w:r w:rsidRPr="009A6BD2">
        <w:rPr>
          <w:rFonts w:ascii="Times New Roman" w:hAnsi="Times New Roman" w:cs="Times"/>
        </w:rPr>
        <w:t>ns les branches des arbres, elle détermine des bruissements et des craquements que perçoivent même les oreilles profanes </w:t>
      </w:r>
      <w:r w:rsidRPr="009A6BD2">
        <w:rPr>
          <w:rStyle w:val="Rimandonotaapidipagina"/>
          <w:rFonts w:ascii="Times" w:hAnsi="Times New Roman" w:cs="Times"/>
        </w:rPr>
        <w:footnoteReference w:id="534"/>
      </w:r>
      <w:r w:rsidRPr="009A6BD2">
        <w:rPr>
          <w:rFonts w:ascii="Times New Roman" w:hAnsi="Times New Roman" w:cs="Times"/>
        </w:rPr>
        <w:t>. Mais en même temps, elle passe pour être invisible au vulgaire </w:t>
      </w:r>
      <w:r w:rsidRPr="009A6BD2">
        <w:rPr>
          <w:rStyle w:val="Rimandonotaapidipagina"/>
          <w:rFonts w:ascii="Times" w:hAnsi="Times New Roman" w:cs="Times"/>
        </w:rPr>
        <w:footnoteReference w:id="535"/>
      </w:r>
      <w:r w:rsidRPr="009A6BD2">
        <w:rPr>
          <w:rFonts w:ascii="Times New Roman" w:hAnsi="Times New Roman" w:cs="Times"/>
        </w:rPr>
        <w:t>. Les magiciens, il est vrai, ou les vieillards ont la faculté de vo</w:t>
      </w:r>
      <w:r w:rsidRPr="009A6BD2">
        <w:rPr>
          <w:rFonts w:ascii="Times New Roman" w:hAnsi="Times New Roman" w:cs="Times"/>
        </w:rPr>
        <w:t xml:space="preserve">ir les âmes; mais c'est qu'en vertu de pouvoirs spéciaux, qu'ils doivent ou à l'âge ou à une culture spéciale, ils perçoivent des choses qui échappent à nos sens. Quant aux individus ordinaires, ils ne jouiraient, suivant Dawson, du même privilège qu'à un </w:t>
      </w:r>
      <w:r w:rsidRPr="009A6BD2">
        <w:rPr>
          <w:rFonts w:ascii="Times New Roman" w:hAnsi="Times New Roman" w:cs="Times"/>
        </w:rPr>
        <w:t>seul moment de leur existence : c'est quand ils sont à la veille de mourir d'une mort prématurée. Aussi, cette vision quasi miracu</w:t>
      </w:r>
      <w:r w:rsidRPr="009A6BD2">
        <w:rPr>
          <w:rFonts w:ascii="Times" w:hAnsi="Times New Roman" w:cs="Times"/>
        </w:rPr>
        <w:softHyphen/>
      </w:r>
      <w:r w:rsidRPr="009A6BD2">
        <w:rPr>
          <w:rFonts w:ascii="Times New Roman" w:hAnsi="Times New Roman" w:cs="Times"/>
        </w:rPr>
        <w:t>leuse est-elle considérée comme un sinistre présage. Or, l'invisibilité est généralement regar</w:t>
      </w:r>
      <w:r w:rsidRPr="009A6BD2">
        <w:rPr>
          <w:rFonts w:ascii="Times" w:hAnsi="Times New Roman" w:cs="Times"/>
        </w:rPr>
        <w:softHyphen/>
      </w:r>
      <w:r w:rsidRPr="009A6BD2">
        <w:rPr>
          <w:rFonts w:ascii="Times New Roman" w:hAnsi="Times New Roman" w:cs="Times"/>
        </w:rPr>
        <w:t xml:space="preserve">dée comme un des signes de la </w:t>
      </w:r>
      <w:r w:rsidRPr="009A6BD2">
        <w:rPr>
          <w:rFonts w:ascii="Times New Roman" w:hAnsi="Times New Roman" w:cs="Times"/>
        </w:rPr>
        <w:t>spiritualité. L'âme est donc, dans une certaine mesure, conçue comme immatérielle, puisqu'elle n'affecte pas les sens à la manière des corps: elle n'a pas d'os, disent les tribus de la rivière Tully </w:t>
      </w:r>
      <w:r w:rsidRPr="009A6BD2">
        <w:rPr>
          <w:rStyle w:val="Rimandonotaapidipagina"/>
          <w:rFonts w:ascii="Times" w:hAnsi="Times New Roman" w:cs="Times"/>
        </w:rPr>
        <w:footnoteReference w:id="536"/>
      </w:r>
      <w:r w:rsidRPr="009A6BD2">
        <w:rPr>
          <w:rFonts w:ascii="Times New Roman" w:hAnsi="Times New Roman" w:cs="Times"/>
        </w:rPr>
        <w:t>. Pour concilier tous ces caractères opposés, on se la r</w:t>
      </w:r>
      <w:r w:rsidRPr="009A6BD2">
        <w:rPr>
          <w:rFonts w:ascii="Times New Roman" w:hAnsi="Times New Roman" w:cs="Times"/>
        </w:rPr>
        <w:t>eprésente comme faite d'une matière infiniment rare et subtile, comme quelque chose d'éthéré </w:t>
      </w:r>
      <w:r w:rsidRPr="009A6BD2">
        <w:rPr>
          <w:rStyle w:val="Rimandonotaapidipagina"/>
          <w:rFonts w:ascii="Times" w:hAnsi="Times New Roman" w:cs="Times"/>
        </w:rPr>
        <w:footnoteReference w:id="537"/>
      </w:r>
      <w:r w:rsidRPr="009A6BD2">
        <w:rPr>
          <w:rFonts w:ascii="Times New Roman" w:hAnsi="Times New Roman" w:cs="Times"/>
        </w:rPr>
        <w:t>, comparable à l'ombre ou au souffle </w:t>
      </w:r>
      <w:r w:rsidRPr="009A6BD2">
        <w:rPr>
          <w:rStyle w:val="Rimandonotaapidipagina"/>
          <w:rFonts w:ascii="Times" w:hAnsi="Times New Roman" w:cs="Times"/>
        </w:rPr>
        <w:footnoteReference w:id="53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Elle est distincte et indépendante du corps puisque, dès cette vie, elle en peut sortir mo</w:t>
      </w:r>
      <w:r w:rsidRPr="009A6BD2">
        <w:rPr>
          <w:rFonts w:ascii="Times" w:hAnsi="Times New Roman" w:cs="Times"/>
        </w:rPr>
        <w:softHyphen/>
      </w:r>
      <w:r w:rsidRPr="009A6BD2">
        <w:rPr>
          <w:rFonts w:ascii="Times New Roman" w:hAnsi="Times New Roman" w:cs="Times"/>
        </w:rPr>
        <w:t>men</w:t>
      </w:r>
      <w:r w:rsidRPr="009A6BD2">
        <w:rPr>
          <w:rFonts w:ascii="Times" w:hAnsi="Times New Roman" w:cs="Times"/>
        </w:rPr>
        <w:softHyphen/>
      </w:r>
      <w:r w:rsidRPr="009A6BD2">
        <w:rPr>
          <w:rFonts w:ascii="Times New Roman" w:hAnsi="Times New Roman" w:cs="Times"/>
        </w:rPr>
        <w:t>ta</w:t>
      </w:r>
      <w:r w:rsidRPr="009A6BD2">
        <w:rPr>
          <w:rFonts w:ascii="Times" w:hAnsi="Times New Roman" w:cs="Times"/>
        </w:rPr>
        <w:softHyphen/>
      </w:r>
      <w:r w:rsidRPr="009A6BD2">
        <w:rPr>
          <w:rFonts w:ascii="Times New Roman" w:hAnsi="Times New Roman" w:cs="Times"/>
        </w:rPr>
        <w:t xml:space="preserve">nément. Elle le quitte </w:t>
      </w:r>
      <w:r w:rsidRPr="009A6BD2">
        <w:rPr>
          <w:rFonts w:ascii="Times New Roman" w:hAnsi="Times New Roman" w:cs="Times"/>
        </w:rPr>
        <w:t>pendant le sommeil, pendant l'évanouissement, etc. </w:t>
      </w:r>
      <w:r w:rsidRPr="009A6BD2">
        <w:rPr>
          <w:rStyle w:val="Rimandonotaapidipagina"/>
          <w:rFonts w:ascii="Times" w:hAnsi="Times New Roman" w:cs="Times"/>
        </w:rPr>
        <w:footnoteReference w:id="539"/>
      </w:r>
      <w:r w:rsidRPr="009A6BD2">
        <w:rPr>
          <w:rFonts w:ascii="Times New Roman" w:hAnsi="Times New Roman" w:cs="Times"/>
        </w:rPr>
        <w:t xml:space="preserve"> Elle peut même en rester absente quelque temps, sans que la mort s'ensuive ; toutefois, pendant ces absences, la vie est amoindrie et elle s'arrête même si l'âme ne rentre pas au gîte </w:t>
      </w:r>
      <w:r w:rsidRPr="009A6BD2">
        <w:rPr>
          <w:rStyle w:val="Rimandonotaapidipagina"/>
          <w:rFonts w:ascii="Times" w:hAnsi="Times New Roman" w:cs="Times"/>
        </w:rPr>
        <w:footnoteReference w:id="540"/>
      </w:r>
      <w:r w:rsidRPr="009A6BD2">
        <w:rPr>
          <w:rFonts w:ascii="Times New Roman" w:hAnsi="Times New Roman" w:cs="Times"/>
        </w:rPr>
        <w:t>. Mais c'est surto</w:t>
      </w:r>
      <w:r w:rsidRPr="009A6BD2">
        <w:rPr>
          <w:rFonts w:ascii="Times New Roman" w:hAnsi="Times New Roman" w:cs="Times"/>
        </w:rPr>
        <w:t>ut à la mort que cette distinction et cette indépendance s'accusent avec le plus de netteté. Alors que le corps n'est plus, qu'il n'en reste plus de traces visibles, l'âme continue à vivre; elle mène, dans un monde à part, une existence autonome.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Mais si </w:t>
      </w:r>
      <w:r w:rsidRPr="009A6BD2">
        <w:rPr>
          <w:rFonts w:ascii="Times New Roman" w:hAnsi="Times New Roman" w:cs="Times"/>
        </w:rPr>
        <w:t>réelle que soit cette dualité, elle n'a rien d'absolu. Ce serait se méprendre que de se représenter le corps comme une sorte d'habitat dans lequel l'âme réside, mais avec lequel elle n'a que des rapports extérieurs. Tout au contraire, elle lui est unie par</w:t>
      </w:r>
      <w:r w:rsidRPr="009A6BD2">
        <w:rPr>
          <w:rFonts w:ascii="Times New Roman" w:hAnsi="Times New Roman" w:cs="Times"/>
        </w:rPr>
        <w:t xml:space="preserve"> les liens les plus étroits; elle n'en est même que malaisément et imparfaitement séparable Déjà nous avons vu qu'elle en a, ou, tout au moins, qu'elle peut en prendre l'aspect extérieur. Par suite, tout ce qui atteint l'un atteint l'autre ; toute blessure</w:t>
      </w:r>
      <w:r w:rsidRPr="009A6BD2">
        <w:rPr>
          <w:rFonts w:ascii="Times New Roman" w:hAnsi="Times New Roman" w:cs="Times"/>
        </w:rPr>
        <w:t xml:space="preserve"> du corps se propage jusqu'à l'âme </w:t>
      </w:r>
      <w:r w:rsidRPr="009A6BD2">
        <w:rPr>
          <w:rStyle w:val="Rimandonotaapidipagina"/>
          <w:rFonts w:ascii="Times" w:hAnsi="Times New Roman" w:cs="Times"/>
        </w:rPr>
        <w:footnoteReference w:id="541"/>
      </w:r>
      <w:r w:rsidRPr="009A6BD2">
        <w:rPr>
          <w:rFonts w:ascii="Times New Roman" w:hAnsi="Times New Roman" w:cs="Times"/>
        </w:rPr>
        <w:t>. Elle est si intimement associée à la vie de l'organisme qu'elle grandit avec lui et dépérit avec lui. Voilà pourquoi l'homme qui est parvenu à un certain âge jouit de privilèges qui sont refusés aux jeunes gens ; c'est</w:t>
      </w:r>
      <w:r w:rsidRPr="009A6BD2">
        <w:rPr>
          <w:rFonts w:ascii="Times New Roman" w:hAnsi="Times New Roman" w:cs="Times"/>
        </w:rPr>
        <w:t xml:space="preserve"> que le principe religieux qui est en lui a pris plus de force et d'efficacité à mesure qu'il avançait dans la vie. Mais, quand il y a sénilité proprement dite, quand le vieillard est devenu incapable de jouer un rôle utile dans les grandes cérémonies reli</w:t>
      </w:r>
      <w:r w:rsidRPr="009A6BD2">
        <w:rPr>
          <w:rFonts w:ascii="Times New Roman" w:hAnsi="Times New Roman" w:cs="Times"/>
        </w:rPr>
        <w:t>gieuses où les intérêts vitaux de la tribu sont en jeu, on ne lui témoigne plus d'égards. On considère que la débilité du corps s'est communiquée à l'âme. N'ayant plus les mêmes pouvoirs, le sujet n'a plus droit au même prestige </w:t>
      </w:r>
      <w:r w:rsidRPr="009A6BD2">
        <w:rPr>
          <w:rStyle w:val="Rimandonotaapidipagina"/>
          <w:rFonts w:ascii="Times" w:hAnsi="Times New Roman" w:cs="Times"/>
        </w:rPr>
        <w:footnoteReference w:id="54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Il n'y a pas seulement </w:t>
      </w:r>
      <w:r w:rsidRPr="009A6BD2">
        <w:rPr>
          <w:rFonts w:ascii="Times New Roman" w:hAnsi="Times New Roman" w:cs="Times"/>
        </w:rPr>
        <w:t>entre l'âme et le corps étroite solidarité, mais partielle confusion. De même qu'il y a quelque chose du corps dans l'âme, puisqu'elle en reproduit parfois la forme, il y a quelque chose de l'âme dans le corps. Certaines régions, certains produits de l'org</w:t>
      </w:r>
      <w:r w:rsidRPr="009A6BD2">
        <w:rPr>
          <w:rFonts w:ascii="Times New Roman" w:hAnsi="Times New Roman" w:cs="Times"/>
        </w:rPr>
        <w:t>anisme passent pour avoir avec elle une affinité toute spéciale : c'est le coeur, le souffle, le placenta </w:t>
      </w:r>
      <w:r w:rsidRPr="009A6BD2">
        <w:rPr>
          <w:rStyle w:val="Rimandonotaapidipagina"/>
          <w:rFonts w:ascii="Times" w:hAnsi="Times New Roman" w:cs="Times"/>
        </w:rPr>
        <w:footnoteReference w:id="543"/>
      </w:r>
      <w:r w:rsidRPr="009A6BD2">
        <w:rPr>
          <w:rFonts w:ascii="Times New Roman" w:hAnsi="Times New Roman" w:cs="Times"/>
        </w:rPr>
        <w:t>, le sang </w:t>
      </w:r>
      <w:r w:rsidRPr="009A6BD2">
        <w:rPr>
          <w:rStyle w:val="Rimandonotaapidipagina"/>
          <w:rFonts w:ascii="Times" w:hAnsi="Times New Roman" w:cs="Times"/>
        </w:rPr>
        <w:footnoteReference w:id="544"/>
      </w:r>
      <w:r w:rsidRPr="009A6BD2">
        <w:rPr>
          <w:rFonts w:ascii="Times New Roman" w:hAnsi="Times New Roman" w:cs="Times"/>
        </w:rPr>
        <w:t>, l'ombre </w:t>
      </w:r>
      <w:r w:rsidRPr="009A6BD2">
        <w:rPr>
          <w:rStyle w:val="Rimandonotaapidipagina"/>
          <w:rFonts w:ascii="Times" w:hAnsi="Times New Roman" w:cs="Times"/>
        </w:rPr>
        <w:footnoteReference w:id="545"/>
      </w:r>
      <w:r w:rsidRPr="009A6BD2">
        <w:rPr>
          <w:rFonts w:ascii="Times New Roman" w:hAnsi="Times New Roman" w:cs="Times"/>
        </w:rPr>
        <w:t>, le foie, la graisse du foie, les rognons </w:t>
      </w:r>
      <w:r w:rsidRPr="009A6BD2">
        <w:rPr>
          <w:rStyle w:val="Rimandonotaapidipagina"/>
          <w:rFonts w:ascii="Times" w:hAnsi="Times New Roman" w:cs="Times"/>
        </w:rPr>
        <w:footnoteReference w:id="546"/>
      </w:r>
      <w:r w:rsidRPr="009A6BD2">
        <w:rPr>
          <w:rFonts w:ascii="Times New Roman" w:hAnsi="Times New Roman" w:cs="Times"/>
        </w:rPr>
        <w:t xml:space="preserve">, etc. Ces divers substrats matériels ne sont pas, pour l'âme, de simples habitats </w:t>
      </w:r>
      <w:r w:rsidRPr="009A6BD2">
        <w:rPr>
          <w:rFonts w:ascii="Times New Roman" w:hAnsi="Times New Roman" w:cs="Times"/>
        </w:rPr>
        <w:t>; ils sont l'âme elle-même vue du dehors. Quand le sang s'écoule, l'âme s'échappe avec lui. L'âme n'est pas dans le souffle; elle est le souffle. Elle ne fait qu'un avec la partie du corps où elle réside. De là est venue la conception d'après laquelle l'ho</w:t>
      </w:r>
      <w:r w:rsidRPr="009A6BD2">
        <w:rPr>
          <w:rFonts w:ascii="Times New Roman" w:hAnsi="Times New Roman" w:cs="Times"/>
        </w:rPr>
        <w:t>mme a une pluralité d'âmes. Dispersée à travers l'organisme, l'âme s'est différenciée et fragmentée. Chaque organe a com</w:t>
      </w:r>
      <w:r w:rsidRPr="009A6BD2">
        <w:rPr>
          <w:rFonts w:ascii="Times" w:hAnsi="Times New Roman" w:cs="Times"/>
        </w:rPr>
        <w:softHyphen/>
      </w:r>
      <w:r w:rsidRPr="009A6BD2">
        <w:rPr>
          <w:rFonts w:ascii="Times New Roman" w:hAnsi="Times New Roman" w:cs="Times"/>
        </w:rPr>
        <w:t>me individualisé la portion d'âme qu'il contient et qui est ainsi devenue une entité distincte. Celle du cœur ne saurait être identique</w:t>
      </w:r>
      <w:r w:rsidRPr="009A6BD2">
        <w:rPr>
          <w:rFonts w:ascii="Times New Roman" w:hAnsi="Times New Roman" w:cs="Times"/>
        </w:rPr>
        <w:t xml:space="preserve"> à celle du souffle ou de l'ombre ou du placenta. Bien qu'elles soient toutes parentes, elles demandent pourtant à être distinguées et portent même des noms différents </w:t>
      </w:r>
      <w:r w:rsidRPr="009A6BD2">
        <w:rPr>
          <w:rStyle w:val="Rimandonotaapidipagina"/>
          <w:rFonts w:ascii="Times" w:hAnsi="Times New Roman" w:cs="Times"/>
        </w:rPr>
        <w:footnoteReference w:id="54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D'ailleurs, si l'âme est plus particulièrement localisée sur certains points de l'or</w:t>
      </w:r>
      <w:r w:rsidRPr="009A6BD2">
        <w:rPr>
          <w:rFonts w:ascii="Times New Roman" w:hAnsi="Times New Roman" w:cs="Times"/>
        </w:rPr>
        <w:t>ganisme, elle n'est pas absente des autres. A des degrés divers, elle est diffuse dans le corps tout entier. C'est ce que montrent bien les rites mortuaires. Une fois que le dernier souffle est expiré, que l'âme est censée partie, il semble qu'elle devrait</w:t>
      </w:r>
      <w:r w:rsidRPr="009A6BD2">
        <w:rPr>
          <w:rFonts w:ascii="Times New Roman" w:hAnsi="Times New Roman" w:cs="Times"/>
        </w:rPr>
        <w:t xml:space="preserve"> aussitôt mettre à profit la liberté ainsi reconquise pour se mouvoir a sa guise et regagner le plus vite possible sa vraie patrie qui est ailleurs. Et cependant, elle reste auprès du cadavre; le lien qui l'y rattache S'est détendu, il ne s'est pas brisé. </w:t>
      </w:r>
      <w:r w:rsidRPr="009A6BD2">
        <w:rPr>
          <w:rFonts w:ascii="Times New Roman" w:hAnsi="Times New Roman" w:cs="Times"/>
        </w:rPr>
        <w:t>Il faut tout un appareil de rites spéciaux pour la déterminer à s'éloigner définitivement. Par des gestes, par des mouvements significatifs, on l'invite à partir </w:t>
      </w:r>
      <w:r w:rsidRPr="009A6BD2">
        <w:rPr>
          <w:rStyle w:val="Rimandonotaapidipagina"/>
          <w:rFonts w:ascii="Times New Roman" w:hAnsi="Times New Roman" w:cs="Times"/>
        </w:rPr>
        <w:footnoteReference w:id="548"/>
      </w:r>
      <w:r w:rsidRPr="009A6BD2">
        <w:rPr>
          <w:rFonts w:ascii="Times New Roman" w:hAnsi="Times New Roman" w:cs="Times"/>
        </w:rPr>
        <w:t>. On lui fraye les voies, on lui ménage des issues afin qu'elle puisse s'envoler plus aisémen</w:t>
      </w:r>
      <w:r w:rsidRPr="009A6BD2">
        <w:rPr>
          <w:rFonts w:ascii="Times New Roman" w:hAnsi="Times New Roman" w:cs="Times"/>
        </w:rPr>
        <w:t>t </w:t>
      </w:r>
      <w:r w:rsidRPr="009A6BD2">
        <w:rPr>
          <w:rStyle w:val="Rimandonotaapidipagina"/>
          <w:rFonts w:ascii="Times New Roman" w:hAnsi="Times New Roman" w:cs="Times"/>
        </w:rPr>
        <w:footnoteReference w:id="549"/>
      </w:r>
      <w:r w:rsidRPr="009A6BD2">
        <w:rPr>
          <w:rFonts w:ascii="Times New Roman" w:hAnsi="Times New Roman" w:cs="Times"/>
        </w:rPr>
        <w:t>. C'est qu'elle n'est pas sortie tout entière du corps; elle l'imprégnait trop profondément pour pouvoir s'en dégager d'un seul coup. De là vient le rite si fréquent de l'anthropophagie funéraire ; on consomme les chairs du mort parce qu'un principe sac</w:t>
      </w:r>
      <w:r w:rsidRPr="009A6BD2">
        <w:rPr>
          <w:rFonts w:ascii="Times New Roman" w:hAnsi="Times New Roman" w:cs="Times"/>
        </w:rPr>
        <w:t>ré est censé y résider qui n'est autre que l'âme </w:t>
      </w:r>
      <w:r w:rsidRPr="009A6BD2">
        <w:rPr>
          <w:rStyle w:val="Rimandonotaapidipagina"/>
          <w:rFonts w:ascii="Times New Roman" w:hAnsi="Times New Roman" w:cs="Times"/>
        </w:rPr>
        <w:footnoteReference w:id="550"/>
      </w:r>
      <w:r w:rsidRPr="009A6BD2">
        <w:rPr>
          <w:rFonts w:ascii="Times New Roman" w:hAnsi="Times New Roman" w:cs="Times"/>
        </w:rPr>
        <w:t>. Pour l'extirper définitivement, on fait fondre les chairs, en les soumettant soit à la chaleur du soleil </w:t>
      </w:r>
      <w:r w:rsidRPr="009A6BD2">
        <w:rPr>
          <w:rStyle w:val="Rimandonotaapidipagina"/>
          <w:rFonts w:ascii="Times New Roman" w:hAnsi="Times New Roman" w:cs="Times"/>
        </w:rPr>
        <w:footnoteReference w:id="551"/>
      </w:r>
      <w:r w:rsidRPr="009A6BD2">
        <w:rPr>
          <w:rFonts w:ascii="Times New Roman" w:hAnsi="Times New Roman" w:cs="Times"/>
        </w:rPr>
        <w:t xml:space="preserve"> soit à l'action d'un feu artificiel </w:t>
      </w:r>
      <w:r w:rsidRPr="009A6BD2">
        <w:rPr>
          <w:rStyle w:val="Rimandonotaapidipagina"/>
          <w:rFonts w:ascii="Times New Roman" w:hAnsi="Times New Roman" w:cs="Times"/>
        </w:rPr>
        <w:footnoteReference w:id="552"/>
      </w:r>
      <w:r w:rsidRPr="009A6BD2">
        <w:rPr>
          <w:rFonts w:ascii="Times New Roman" w:hAnsi="Times New Roman" w:cs="Times"/>
        </w:rPr>
        <w:t>. L'âme s'en va avec les liquides qui s'écoulent. Mais les o</w:t>
      </w:r>
      <w:r w:rsidRPr="009A6BD2">
        <w:rPr>
          <w:rFonts w:ascii="Times New Roman" w:hAnsi="Times New Roman" w:cs="Times"/>
        </w:rPr>
        <w:t>ssements desséchés en gardent encore quelque chose. Aussi les emploie-t-on comme objets sacrés ou comme instruments magiques </w:t>
      </w:r>
      <w:r w:rsidRPr="009A6BD2">
        <w:rPr>
          <w:rStyle w:val="Rimandonotaapidipagina"/>
          <w:rFonts w:ascii="Times New Roman" w:hAnsi="Times New Roman" w:cs="Times"/>
        </w:rPr>
        <w:footnoteReference w:id="553"/>
      </w:r>
      <w:r w:rsidRPr="009A6BD2">
        <w:rPr>
          <w:rFonts w:ascii="Times New Roman" w:hAnsi="Times New Roman" w:cs="Times"/>
        </w:rPr>
        <w:t xml:space="preserve"> ; ou bien, si l'on veut mettre complètement en liberté le principe qu'ils recèlent, on les brise </w:t>
      </w:r>
      <w:r w:rsidRPr="009A6BD2">
        <w:rPr>
          <w:rStyle w:val="Rimandonotaapidipagina"/>
          <w:rFonts w:ascii="Times New Roman" w:hAnsi="Times New Roman" w:cs="Times"/>
        </w:rPr>
        <w:footnoteReference w:id="55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 moment cependant arrive o</w:t>
      </w:r>
      <w:r w:rsidRPr="009A6BD2">
        <w:rPr>
          <w:rFonts w:ascii="Times New Roman" w:hAnsi="Times New Roman" w:cs="Times"/>
        </w:rPr>
        <w:t>ù la séparation définitive est consommée ; l'âme libérée prend son essor. Mais elle est, par nature, si intimement associée au corps, que cet arrache</w:t>
      </w:r>
      <w:r w:rsidRPr="009A6BD2">
        <w:rPr>
          <w:rFonts w:ascii="Times New Roman" w:hAnsi="Times New Roman" w:cs="Times"/>
        </w:rPr>
        <w:softHyphen/>
        <w:t>ment ne va pas pour elle sans une grave transformation d'état. Aussi prend elle alors un autre nom </w:t>
      </w:r>
      <w:r w:rsidRPr="009A6BD2">
        <w:rPr>
          <w:rStyle w:val="Rimandonotaapidipagina"/>
          <w:rFonts w:ascii="Times New Roman" w:hAnsi="Times New Roman" w:cs="Times"/>
        </w:rPr>
        <w:footnoteReference w:id="555"/>
      </w:r>
      <w:r w:rsidRPr="009A6BD2">
        <w:rPr>
          <w:rFonts w:ascii="Times New Roman" w:hAnsi="Times New Roman" w:cs="Times"/>
        </w:rPr>
        <w:t>. Bien</w:t>
      </w:r>
      <w:r w:rsidRPr="009A6BD2">
        <w:rPr>
          <w:rFonts w:ascii="Times New Roman" w:hAnsi="Times New Roman" w:cs="Times"/>
        </w:rPr>
        <w:t xml:space="preserve"> qu'elle garde tous les traits distinctifs de l'individu qu'elle animait, son humeur, ses qualités bonnes et mauvaises </w:t>
      </w:r>
      <w:r w:rsidRPr="009A6BD2">
        <w:rPr>
          <w:rStyle w:val="Rimandonotaapidipagina"/>
          <w:rFonts w:ascii="Times New Roman" w:hAnsi="Times New Roman" w:cs="Times"/>
        </w:rPr>
        <w:footnoteReference w:id="556"/>
      </w:r>
      <w:r w:rsidRPr="009A6BD2">
        <w:rPr>
          <w:rFonts w:ascii="Times New Roman" w:hAnsi="Times New Roman" w:cs="Times"/>
        </w:rPr>
        <w:t>, cependant elle est devenue un être nouveau. Dès lors, commence pour elle une nouvelle existence.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Elle se rend au pays des âmes. Ce pa</w:t>
      </w:r>
      <w:r w:rsidRPr="009A6BD2">
        <w:rPr>
          <w:rFonts w:ascii="Times New Roman" w:hAnsi="Times New Roman" w:cs="Times"/>
        </w:rPr>
        <w:t>ys est diversement conçu suivant les tribus ; on trouve même parfois des conceptions différentes qui coexistent côte à côte dans une même société. Tantôt, il est situé sous terre, et chaque groupe totémique a le sien. C'est l'endroit où les premiers ancêtr</w:t>
      </w:r>
      <w:r w:rsidRPr="009A6BD2">
        <w:rPr>
          <w:rFonts w:ascii="Times New Roman" w:hAnsi="Times New Roman" w:cs="Times"/>
        </w:rPr>
        <w:t>es, fondateurs du clan, se sont, à un moment donné, enfoncés dans le sol et où ils sont venus vivre après leur mort. Il y a ainsi, dans le monde souterrain, une distribution géographique des morts qui correspond à celle des vivants. Là, brille un soleil pe</w:t>
      </w:r>
      <w:r w:rsidRPr="009A6BD2">
        <w:rPr>
          <w:rFonts w:ascii="Times New Roman" w:hAnsi="Times New Roman" w:cs="Times"/>
        </w:rPr>
        <w:t>rpétuel; là coulent des rivières qui ne sont jamais à sec. Telle est la conception que Spencer et Gillen attribuent aux tribus du centre, Arunta </w:t>
      </w:r>
      <w:r w:rsidRPr="009A6BD2">
        <w:rPr>
          <w:rStyle w:val="Rimandonotaapidipagina"/>
          <w:rFonts w:ascii="Times New Roman" w:hAnsi="Times New Roman" w:cs="Times"/>
        </w:rPr>
        <w:footnoteReference w:id="557"/>
      </w:r>
      <w:r w:rsidRPr="009A6BD2">
        <w:rPr>
          <w:rFonts w:ascii="Times New Roman" w:hAnsi="Times New Roman" w:cs="Times"/>
        </w:rPr>
        <w:t>, Warramunga </w:t>
      </w:r>
      <w:r w:rsidRPr="009A6BD2">
        <w:rPr>
          <w:rStyle w:val="Rimandonotaapidipagina"/>
          <w:rFonts w:ascii="Times New Roman" w:hAnsi="Times New Roman" w:cs="Times"/>
        </w:rPr>
        <w:footnoteReference w:id="558"/>
      </w:r>
      <w:r w:rsidRPr="009A6BD2">
        <w:rPr>
          <w:rFonts w:ascii="Times New Roman" w:hAnsi="Times New Roman" w:cs="Times"/>
        </w:rPr>
        <w:t>, etc. On la retrouve chez les Wotjobaluk </w:t>
      </w:r>
      <w:r w:rsidRPr="009A6BD2">
        <w:rPr>
          <w:rStyle w:val="Rimandonotaapidipagina"/>
          <w:rFonts w:ascii="Times New Roman" w:hAnsi="Times New Roman" w:cs="Times"/>
        </w:rPr>
        <w:footnoteReference w:id="559"/>
      </w:r>
      <w:r w:rsidRPr="009A6BD2">
        <w:rPr>
          <w:rFonts w:ascii="Times New Roman" w:hAnsi="Times New Roman" w:cs="Times"/>
        </w:rPr>
        <w:t>. Ailleurs, tous les morts, quels que soient leurs to</w:t>
      </w:r>
      <w:r w:rsidRPr="009A6BD2">
        <w:rPr>
          <w:rFonts w:ascii="Times New Roman" w:hAnsi="Times New Roman" w:cs="Times"/>
        </w:rPr>
        <w:t>tems passent pour vivre ensemble dans un même lieu, plus ou moins vaguement localisé, par delà la mer, dans une île </w:t>
      </w:r>
      <w:r w:rsidRPr="009A6BD2">
        <w:rPr>
          <w:rStyle w:val="Rimandonotaapidipagina"/>
          <w:rFonts w:ascii="Times New Roman" w:hAnsi="Times New Roman" w:cs="Times"/>
        </w:rPr>
        <w:footnoteReference w:id="560"/>
      </w:r>
      <w:r w:rsidRPr="009A6BD2">
        <w:rPr>
          <w:rFonts w:ascii="Times New Roman" w:hAnsi="Times New Roman" w:cs="Times"/>
        </w:rPr>
        <w:t>, ou sur les bords d'un lac </w:t>
      </w:r>
      <w:r w:rsidRPr="009A6BD2">
        <w:rPr>
          <w:rStyle w:val="Rimandonotaapidipagina"/>
          <w:rFonts w:ascii="Times New Roman" w:hAnsi="Times New Roman" w:cs="Times"/>
        </w:rPr>
        <w:footnoteReference w:id="561"/>
      </w:r>
      <w:r w:rsidRPr="009A6BD2">
        <w:rPr>
          <w:rFonts w:ascii="Times New Roman" w:hAnsi="Times New Roman" w:cs="Times"/>
        </w:rPr>
        <w:t>. Parfois, enfin, c'est dans le ciel, au delà des nuages, que sont censées se rendre les âmes. « Là, dit Dawso</w:t>
      </w:r>
      <w:r w:rsidRPr="009A6BD2">
        <w:rPr>
          <w:rFonts w:ascii="Times New Roman" w:hAnsi="Times New Roman" w:cs="Times"/>
        </w:rPr>
        <w:t>n, se trouve une magnifique contrée, abondante en kangourous et en gibier de toute sorte, et où il est mené joyeuse vie. Les âmes s'y retrou</w:t>
      </w:r>
      <w:r w:rsidRPr="009A6BD2">
        <w:rPr>
          <w:rFonts w:ascii="Times New Roman" w:hAnsi="Times New Roman" w:cs="Times"/>
        </w:rPr>
        <w:softHyphen/>
        <w:t>vent et s'y reconnaissent </w:t>
      </w:r>
      <w:r w:rsidRPr="009A6BD2">
        <w:rPr>
          <w:rStyle w:val="Rimandonotaapidipagina"/>
          <w:rFonts w:ascii="Times New Roman" w:hAnsi="Times New Roman" w:cs="Times"/>
        </w:rPr>
        <w:footnoteReference w:id="562"/>
      </w:r>
      <w:r w:rsidRPr="009A6BD2">
        <w:rPr>
          <w:rFonts w:ascii="Times New Roman" w:hAnsi="Times New Roman" w:cs="Times"/>
        </w:rPr>
        <w:t>. » Il est vraisemblable que certains des traits dont est composé ce tableau ont été emp</w:t>
      </w:r>
      <w:r w:rsidRPr="009A6BD2">
        <w:rPr>
          <w:rFonts w:ascii="Times New Roman" w:hAnsi="Times New Roman" w:cs="Times"/>
        </w:rPr>
        <w:t>runtés au paradis des missionnaires chrétiens </w:t>
      </w:r>
      <w:r w:rsidRPr="009A6BD2">
        <w:rPr>
          <w:rStyle w:val="Rimandonotaapidipagina"/>
          <w:rFonts w:ascii="Times New Roman" w:hAnsi="Times New Roman" w:cs="Times"/>
        </w:rPr>
        <w:footnoteReference w:id="563"/>
      </w:r>
      <w:r w:rsidRPr="009A6BD2">
        <w:rPr>
          <w:rFonts w:ascii="Times New Roman" w:hAnsi="Times New Roman" w:cs="Times"/>
        </w:rPr>
        <w:t xml:space="preserve"> ; mais l'idée que les âmes, ou tout au moins que certaines âmes vont au ciel après la mort, paraît bien être autochtone; car on la retrouve sur d'autres points du continents </w:t>
      </w:r>
      <w:r w:rsidRPr="009A6BD2">
        <w:rPr>
          <w:rStyle w:val="Rimandonotaapidipagina"/>
          <w:rFonts w:ascii="Times New Roman" w:hAnsi="Times New Roman" w:cs="Times"/>
        </w:rPr>
        <w:footnoteReference w:id="56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général, toutes les âmes on</w:t>
      </w:r>
      <w:r w:rsidRPr="009A6BD2">
        <w:rPr>
          <w:rFonts w:ascii="Times New Roman" w:hAnsi="Times New Roman" w:cs="Times"/>
        </w:rPr>
        <w:t xml:space="preserve">t le même sort et mènent la même vie. Cependant, il arrive qu'un traitement différent leur est appliqué selon la manière dont elles se sont conduites sur terre, et l'on voit apparaître comme un premier dessin de ces compartiments distincts et même opposés </w:t>
      </w:r>
      <w:r w:rsidRPr="009A6BD2">
        <w:rPr>
          <w:rFonts w:ascii="Times New Roman" w:hAnsi="Times New Roman" w:cs="Times"/>
        </w:rPr>
        <w:t>entre lesquels se partagera plus tard le monde de l'au-delà. Les âmes de ceux qui, pendant leur vie, ont excellé comme chasseurs, guerriers, danseurs, etc. ne sont pas con</w:t>
      </w:r>
      <w:r w:rsidRPr="009A6BD2">
        <w:rPr>
          <w:rFonts w:ascii="Times New Roman" w:hAnsi="Times New Roman" w:cs="Times"/>
        </w:rPr>
        <w:softHyphen/>
        <w:t>fon</w:t>
      </w:r>
      <w:r w:rsidRPr="009A6BD2">
        <w:rPr>
          <w:rFonts w:ascii="Times New Roman" w:hAnsi="Times New Roman" w:cs="Times"/>
        </w:rPr>
        <w:softHyphen/>
        <w:t>dues avec la foule des autres ; un lieu spécial leur est affecté </w:t>
      </w:r>
      <w:r w:rsidRPr="009A6BD2">
        <w:rPr>
          <w:rStyle w:val="Rimandonotaapidipagina"/>
          <w:rFonts w:ascii="Times New Roman" w:hAnsi="Times New Roman" w:cs="Times"/>
        </w:rPr>
        <w:footnoteReference w:id="565"/>
      </w:r>
      <w:r w:rsidRPr="009A6BD2">
        <w:rPr>
          <w:rFonts w:ascii="Times New Roman" w:hAnsi="Times New Roman" w:cs="Times"/>
        </w:rPr>
        <w:t>. Parfois, c'e</w:t>
      </w:r>
      <w:r w:rsidRPr="009A6BD2">
        <w:rPr>
          <w:rFonts w:ascii="Times New Roman" w:hAnsi="Times New Roman" w:cs="Times"/>
        </w:rPr>
        <w:t>st le ciel </w:t>
      </w:r>
      <w:r w:rsidRPr="009A6BD2">
        <w:rPr>
          <w:rStyle w:val="Rimandonotaapidipagina"/>
          <w:rFonts w:ascii="Times New Roman" w:hAnsi="Times New Roman" w:cs="Times"/>
        </w:rPr>
        <w:footnoteReference w:id="566"/>
      </w:r>
      <w:r w:rsidRPr="009A6BD2">
        <w:rPr>
          <w:rFonts w:ascii="Times New Roman" w:hAnsi="Times New Roman" w:cs="Times"/>
        </w:rPr>
        <w:t>. Strehlow rapporte même que, d'après un mythe, les âmes des méchants sont dévorées par des esprits redoutés, et anéanties </w:t>
      </w:r>
      <w:r w:rsidRPr="009A6BD2">
        <w:rPr>
          <w:rStyle w:val="Rimandonotaapidipagina"/>
          <w:rFonts w:ascii="Times New Roman" w:hAnsi="Times New Roman" w:cs="Times"/>
        </w:rPr>
        <w:footnoteReference w:id="567"/>
      </w:r>
      <w:r w:rsidRPr="009A6BD2">
        <w:rPr>
          <w:rFonts w:ascii="Times New Roman" w:hAnsi="Times New Roman" w:cs="Times"/>
        </w:rPr>
        <w:t>. Toutefois, ces conceptions restent toujours très imprécises en Australie </w:t>
      </w:r>
      <w:r w:rsidRPr="009A6BD2">
        <w:rPr>
          <w:rStyle w:val="Rimandonotaapidipagina"/>
          <w:rFonts w:ascii="Times New Roman" w:hAnsi="Times New Roman" w:cs="Times"/>
        </w:rPr>
        <w:footnoteReference w:id="568"/>
      </w:r>
      <w:r w:rsidRPr="009A6BD2">
        <w:rPr>
          <w:rFonts w:ascii="Times New Roman" w:hAnsi="Times New Roman" w:cs="Times"/>
        </w:rPr>
        <w:t xml:space="preserve"> ; elles ne commencent à prendre un peu de d</w:t>
      </w:r>
      <w:r w:rsidRPr="009A6BD2">
        <w:rPr>
          <w:rFonts w:ascii="Times New Roman" w:hAnsi="Times New Roman" w:cs="Times"/>
        </w:rPr>
        <w:t>étermination et de netteté que dans des sociétés plus avancées comme celles d'Amérique </w:t>
      </w:r>
      <w:r w:rsidRPr="009A6BD2">
        <w:rPr>
          <w:rStyle w:val="Rimandonotaapidipagina"/>
          <w:rFonts w:ascii="Times New Roman" w:hAnsi="Times New Roman" w:cs="Times"/>
        </w:rPr>
        <w:footnoteReference w:id="569"/>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pStyle w:val="section"/>
        <w:rPr>
          <w:rFonts w:ascii="Times New Roman" w:hAnsi="Times New Roman"/>
          <w:i/>
          <w:iCs/>
        </w:rPr>
      </w:pPr>
      <w:bookmarkStart w:id="46" w:name="livre_2_chap_8_2"/>
      <w:r w:rsidRPr="009A6BD2">
        <w:rPr>
          <w:rFonts w:ascii="Times New Roman" w:hAnsi="Times New Roman"/>
        </w:rPr>
        <w:t>II</w:t>
      </w:r>
    </w:p>
    <w:bookmarkEnd w:id="46"/>
    <w:p w:rsidR="009A6BD2" w:rsidRPr="009A6BD2" w:rsidRDefault="003E2D0F">
      <w:pPr>
        <w:rPr>
          <w:rFonts w:ascii="Times New Roman" w:hAnsi="Times New Roman" w:cs="Times"/>
          <w:i/>
          <w:iC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i/>
          <w:iC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Telles sont, sous leur forme la plus primitive, et ramenées à leurs traits les plus essentiels, les croyances relatives</w:t>
      </w:r>
      <w:r w:rsidRPr="009A6BD2">
        <w:rPr>
          <w:rFonts w:ascii="Times New Roman" w:hAnsi="Times New Roman" w:cs="Times"/>
        </w:rPr>
        <w:t xml:space="preserve"> à la nature de l'âme et à sa destinée. Il nous faut maintenant essayer d'en rendre compte. Qu'est-ce donc qui a pu amener l'homme à penser qu'il y avait en lui deux êtres, dont l'un possédait les caractères si spéciaux qui viennent d'être énumérés ? Pour </w:t>
      </w:r>
      <w:r w:rsidRPr="009A6BD2">
        <w:rPr>
          <w:rFonts w:ascii="Times New Roman" w:hAnsi="Times New Roman" w:cs="Times"/>
        </w:rPr>
        <w:t>répondre à cette question, commençons par rechercher quelle origine le primitif lui-même attribue au principe spirituel qu'il croit sentir en lui : bien analysée, sa propre conception nous mettra sur la voie de la solution.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Suivant la méthode que nous nou</w:t>
      </w:r>
      <w:r w:rsidRPr="009A6BD2">
        <w:rPr>
          <w:rFonts w:ascii="Times New Roman" w:hAnsi="Times New Roman" w:cs="Times"/>
        </w:rPr>
        <w:t>s efforçons de pratiquer, nous étudierons les idées dont il s'agit dans un groupe déterminé de sociétés où elles ont été observées avec une précision toute particulière : ce sont les tribus du centre australien. L'aire de notre observation, quoique étendue</w:t>
      </w:r>
      <w:r w:rsidRPr="009A6BD2">
        <w:rPr>
          <w:rFonts w:ascii="Times New Roman" w:hAnsi="Times New Roman" w:cs="Times"/>
        </w:rPr>
        <w:t>, sera donc limitée. Mais il y a des raisons de croire que ces mêmes idées, sous des formes diverses, sont ou ont été d'une grande généralité, même en dehors de l'Australie. De plus et surtout, la notion d'âme n'est pas, dans ces tribus centrales, spécifiq</w:t>
      </w:r>
      <w:r w:rsidRPr="009A6BD2">
        <w:rPr>
          <w:rFonts w:ascii="Times New Roman" w:hAnsi="Times New Roman" w:cs="Times"/>
        </w:rPr>
        <w:t>uement différente de ce qu'elle est dans les autres sociétés australiennes ; elle a partout les mêmes caractères essentiels. Comme un même effet a toujours une même cause, il y a lieu de penser que cette notion, partout identique à elle-même, ne résulte pa</w:t>
      </w:r>
      <w:r w:rsidRPr="009A6BD2">
        <w:rPr>
          <w:rFonts w:ascii="Times New Roman" w:hAnsi="Times New Roman" w:cs="Times"/>
        </w:rPr>
        <w:t>s, ici et là, d'éléments différents. L'origine que nous serons amené à lui attribuer par l'étude des tribus dont il va être plus spécialement question, devra donc être considérée comme également vraie des autres. Les premières nous fourniront l'occasion de</w:t>
      </w:r>
      <w:r w:rsidRPr="009A6BD2">
        <w:rPr>
          <w:rFonts w:ascii="Times New Roman" w:hAnsi="Times New Roman" w:cs="Times"/>
        </w:rPr>
        <w:t xml:space="preserve"> faire, en quelque sorte, une expérience dont les résultats, comme ceux de toute expérience bien faite, seront susceptibles d'être généralisés.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L'homogénéité de la Civilisation australienne suffirait, à elle seule, à justifier cette géné</w:t>
      </w:r>
      <w:r w:rsidRPr="009A6BD2">
        <w:rPr>
          <w:rFonts w:ascii="Times New Roman" w:hAnsi="Times New Roman" w:cs="Times"/>
        </w:rPr>
        <w:softHyphen/>
        <w:t>ralisation ; mai</w:t>
      </w:r>
      <w:r w:rsidRPr="009A6BD2">
        <w:rPr>
          <w:rFonts w:ascii="Times New Roman" w:hAnsi="Times New Roman" w:cs="Times"/>
        </w:rPr>
        <w:t>s nous aurons soin de la confirmer ensuite au moyen de faits empruntés à d'autres peuples tant d'Australie que d'Amérique.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Comme les conceptions qui vont nous fournir la base de notre démonstration ont été rappor</w:t>
      </w:r>
      <w:r w:rsidRPr="009A6BD2">
        <w:rPr>
          <w:rFonts w:ascii="Times New Roman" w:hAnsi="Times New Roman" w:cs="Times"/>
        </w:rPr>
        <w:softHyphen/>
        <w:t xml:space="preserve">tées en des termes différents par Spencer </w:t>
      </w:r>
      <w:r w:rsidRPr="009A6BD2">
        <w:rPr>
          <w:rFonts w:ascii="Times New Roman" w:hAnsi="Times New Roman" w:cs="Times"/>
        </w:rPr>
        <w:t>et Gillen, d'une part, et par Strehlow, de l'autre, nous devons exposer successivement ces deux versions. On verra que, bien inter</w:t>
      </w:r>
      <w:r w:rsidRPr="009A6BD2">
        <w:rPr>
          <w:rFonts w:ascii="Times New Roman" w:hAnsi="Times New Roman" w:cs="Times"/>
        </w:rPr>
        <w:softHyphen/>
        <w:t>pré</w:t>
      </w:r>
      <w:r w:rsidRPr="009A6BD2">
        <w:rPr>
          <w:rFonts w:ascii="Times New Roman" w:hAnsi="Times New Roman" w:cs="Times"/>
        </w:rPr>
        <w:softHyphen/>
        <w:t>tées, elles diffèrent dans la forme plus que dans le fond et qu'elles ont, en définitive, la même signification sociologi</w:t>
      </w:r>
      <w:r w:rsidRPr="009A6BD2">
        <w:rPr>
          <w:rFonts w:ascii="Times New Roman" w:hAnsi="Times New Roman" w:cs="Times"/>
        </w:rPr>
        <w:t>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Suivant Spencer et Gillen, les âmes qui, à chaque génération, viennent animer le corps des nouveau-nés ne sont pas le produit de créations spéciales et originales ; toutes ces tribus admettraient qu'il existe un stock défini d'âmes, dont le nombre ne</w:t>
      </w:r>
      <w:r w:rsidRPr="009A6BD2">
        <w:rPr>
          <w:rFonts w:ascii="Times New Roman" w:hAnsi="Times New Roman" w:cs="Times"/>
        </w:rPr>
        <w:t xml:space="preserve"> peut être accru d'une unité </w:t>
      </w:r>
      <w:r w:rsidRPr="009A6BD2">
        <w:rPr>
          <w:rStyle w:val="Rimandonotaapidipagina"/>
          <w:rFonts w:ascii="Times New Roman" w:hAnsi="Times New Roman" w:cs="Times"/>
        </w:rPr>
        <w:footnoteReference w:id="570"/>
      </w:r>
      <w:r w:rsidRPr="009A6BD2">
        <w:rPr>
          <w:rFonts w:ascii="Times New Roman" w:hAnsi="Times New Roman" w:cs="Times"/>
        </w:rPr>
        <w:t xml:space="preserve"> et qui se réincarnent périodiquement. Quand un individu meurt, son âme quitte le corps où elle résidait, et une fois que le deuil est accompli, elle se rend au pays des âmes ; mais, au bout d'un certain temps, elle revient s'</w:t>
      </w:r>
      <w:r w:rsidRPr="009A6BD2">
        <w:rPr>
          <w:rFonts w:ascii="Times New Roman" w:hAnsi="Times New Roman" w:cs="Times"/>
        </w:rPr>
        <w:t>incarner à nouveau et ce sont ces réincarna</w:t>
      </w:r>
      <w:r w:rsidRPr="009A6BD2">
        <w:rPr>
          <w:rFonts w:ascii="Times New Roman" w:hAnsi="Times New Roman" w:cs="Times"/>
        </w:rPr>
        <w:softHyphen/>
        <w:t>tions qui donnent lieu aux conceptions et aux naissances. Ces âmes fondamentales, ce sont celles qui, à l'origine même des choses, animaient les ancêtres, fondateurs du clan. A une époque, au delà de laquelle l'i</w:t>
      </w:r>
      <w:r w:rsidRPr="009A6BD2">
        <w:rPr>
          <w:rFonts w:ascii="Times New Roman" w:hAnsi="Times New Roman" w:cs="Times"/>
        </w:rPr>
        <w:t xml:space="preserve">magination ne remonte pas et qui est considérée comme le premier commencement des temps, il existait des êtres qui ne dérivaient d'aucun autre. L'Arunta les appelle, pour cette raison, les </w:t>
      </w:r>
      <w:r w:rsidRPr="009A6BD2">
        <w:rPr>
          <w:rFonts w:ascii="Times New Roman" w:hAnsi="Times New Roman" w:cs="Times"/>
          <w:i/>
          <w:iCs/>
        </w:rPr>
        <w:t>Aljirangamitjina</w:t>
      </w:r>
      <w:r w:rsidRPr="009A6BD2">
        <w:rPr>
          <w:rFonts w:ascii="Times New Roman" w:hAnsi="Times New Roman" w:cs="Times"/>
        </w:rPr>
        <w:t> </w:t>
      </w:r>
      <w:r w:rsidRPr="009A6BD2">
        <w:rPr>
          <w:rStyle w:val="Rimandonotaapidipagina"/>
          <w:rFonts w:ascii="Times New Roman" w:hAnsi="Times New Roman" w:cs="Times"/>
        </w:rPr>
        <w:footnoteReference w:id="571"/>
      </w:r>
      <w:r w:rsidRPr="009A6BD2">
        <w:rPr>
          <w:rFonts w:ascii="Times New Roman" w:hAnsi="Times New Roman" w:cs="Times"/>
          <w:i/>
          <w:iCs/>
        </w:rPr>
        <w:t xml:space="preserve">, </w:t>
      </w:r>
      <w:r w:rsidRPr="009A6BD2">
        <w:rPr>
          <w:rFonts w:ascii="Times New Roman" w:hAnsi="Times New Roman" w:cs="Times"/>
        </w:rPr>
        <w:t>les incréés, ceux qui sont de toute éternité, e</w:t>
      </w:r>
      <w:r w:rsidRPr="009A6BD2">
        <w:rPr>
          <w:rFonts w:ascii="Times New Roman" w:hAnsi="Times New Roman" w:cs="Times"/>
        </w:rPr>
        <w:t xml:space="preserve">t, d'après Spencer et Gillen, il donnerait le nom </w:t>
      </w:r>
      <w:r w:rsidRPr="009A6BD2">
        <w:rPr>
          <w:rFonts w:ascii="Times New Roman" w:hAnsi="Times New Roman" w:cs="Times"/>
          <w:i/>
          <w:iCs/>
        </w:rPr>
        <w:t>d'Alcheringa</w:t>
      </w:r>
      <w:r w:rsidRPr="009A6BD2">
        <w:rPr>
          <w:rFonts w:ascii="Times New Roman" w:hAnsi="Times New Roman" w:cs="Times"/>
        </w:rPr>
        <w:t> </w:t>
      </w:r>
      <w:r w:rsidRPr="009A6BD2">
        <w:rPr>
          <w:rStyle w:val="Rimandonotaapidipagina"/>
          <w:rFonts w:ascii="Times New Roman" w:hAnsi="Times New Roman" w:cs="Times"/>
        </w:rPr>
        <w:footnoteReference w:id="572"/>
      </w:r>
      <w:r w:rsidRPr="009A6BD2">
        <w:rPr>
          <w:rFonts w:ascii="Times New Roman" w:hAnsi="Times New Roman" w:cs="Times"/>
        </w:rPr>
        <w:t xml:space="preserve"> à la période où ces êtres fabuleux sont censés avoir vécu. Organisés en clans totémiques, tout comme les hommes d'aujourd'hui, ils passaient leur temps en voyages aux cours desquels ils accom</w:t>
      </w:r>
      <w:r w:rsidRPr="009A6BD2">
        <w:rPr>
          <w:rFonts w:ascii="Times New Roman" w:hAnsi="Times New Roman" w:cs="Times"/>
        </w:rPr>
        <w:t>pli</w:t>
      </w:r>
      <w:r w:rsidRPr="009A6BD2">
        <w:rPr>
          <w:rFonts w:ascii="Times New Roman" w:hAnsi="Times New Roman" w:cs="Times"/>
        </w:rPr>
        <w:softHyphen/>
        <w:t>rent toute sorte d'actions prodigieuses dont les mythes perpétuent le souvenir. Mais un moment vint où cette vie terrestre prit fin : isolément ou par groupes, ils s'enfoncèrent dans le sol. Leurs corps se changèrent en arbres ou en rocher que l'on voi</w:t>
      </w:r>
      <w:r w:rsidRPr="009A6BD2">
        <w:rPr>
          <w:rFonts w:ascii="Times New Roman" w:hAnsi="Times New Roman" w:cs="Times"/>
        </w:rPr>
        <w:t>t encore aux endroits où ils passent pour avoir disparu sous terre. Mais leurs âmes durent toujours ; elles sont immor</w:t>
      </w:r>
      <w:r w:rsidRPr="009A6BD2">
        <w:rPr>
          <w:rFonts w:ascii="Times New Roman" w:hAnsi="Times New Roman" w:cs="Times"/>
        </w:rPr>
        <w:softHyphen/>
        <w:t>telles. Elles continuent même à fréquenter les lieux où s'est terminée l'existence de leurs premiers hôtes. Ces lieux ont, d'ailleurs, en</w:t>
      </w:r>
      <w:r w:rsidRPr="009A6BD2">
        <w:rPr>
          <w:rFonts w:ascii="Times New Roman" w:hAnsi="Times New Roman" w:cs="Times"/>
        </w:rPr>
        <w:t xml:space="preserve"> raison des souvenirs qui s'y rattachent, un caractère sacré ; c'est là que se trouvent les oknanikilla, ces sortes de sanctuaires où sont conservés les churinga du clan et qui sont comme les centres des diffé</w:t>
      </w:r>
      <w:r w:rsidRPr="009A6BD2">
        <w:rPr>
          <w:rFonts w:ascii="Times New Roman" w:hAnsi="Times New Roman" w:cs="Times"/>
        </w:rPr>
        <w:softHyphen/>
        <w:t>rents cultes totémiques. Quand une des âmes qu</w:t>
      </w:r>
      <w:r w:rsidRPr="009A6BD2">
        <w:rPr>
          <w:rFonts w:ascii="Times New Roman" w:hAnsi="Times New Roman" w:cs="Times"/>
        </w:rPr>
        <w:t>i errent autour de l'un de ces sanctuaires s'in</w:t>
      </w:r>
      <w:r w:rsidRPr="009A6BD2">
        <w:rPr>
          <w:rFonts w:ascii="Times New Roman" w:hAnsi="Times New Roman" w:cs="Times"/>
        </w:rPr>
        <w:softHyphen/>
        <w:t>tro</w:t>
      </w:r>
      <w:r w:rsidRPr="009A6BD2">
        <w:rPr>
          <w:rFonts w:ascii="Times New Roman" w:hAnsi="Times New Roman" w:cs="Times"/>
        </w:rPr>
        <w:softHyphen/>
        <w:t>duit dans le corps d'une femme, il en résulte une conception et, plus tard, une naissance </w:t>
      </w:r>
      <w:r w:rsidRPr="009A6BD2">
        <w:rPr>
          <w:rStyle w:val="Rimandonotaapidipagina"/>
          <w:rFonts w:ascii="Times New Roman" w:hAnsi="Times New Roman" w:cs="Times"/>
        </w:rPr>
        <w:footnoteReference w:id="573"/>
      </w:r>
      <w:r w:rsidRPr="009A6BD2">
        <w:rPr>
          <w:rFonts w:ascii="Times New Roman" w:hAnsi="Times New Roman" w:cs="Times"/>
        </w:rPr>
        <w:t>. Chaque individu est donc considéré comme un nouvel avatar d'un ancêtre déter</w:t>
      </w:r>
      <w:r w:rsidRPr="009A6BD2">
        <w:rPr>
          <w:rFonts w:ascii="Times New Roman" w:hAnsi="Times New Roman" w:cs="Times"/>
        </w:rPr>
        <w:softHyphen/>
        <w:t>mi</w:t>
      </w:r>
      <w:r w:rsidRPr="009A6BD2">
        <w:rPr>
          <w:rFonts w:ascii="Times New Roman" w:hAnsi="Times New Roman" w:cs="Times"/>
        </w:rPr>
        <w:softHyphen/>
        <w:t>né : il est cet ancêtre même, r</w:t>
      </w:r>
      <w:r w:rsidRPr="009A6BD2">
        <w:rPr>
          <w:rFonts w:ascii="Times New Roman" w:hAnsi="Times New Roman" w:cs="Times"/>
        </w:rPr>
        <w:t>éapparu dans un corps nouveau et sous de nouveaux traits. Or qu'étaient ces ancêtres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 d'abord, ils étaient doués de pouvoirs infiniment supérieurs à ceux que possèdent les hommes d'aujourd'hui, même les vieillards les plus respectés et les magiciens</w:t>
      </w:r>
      <w:r w:rsidRPr="009A6BD2">
        <w:rPr>
          <w:rFonts w:ascii="Times New Roman" w:hAnsi="Times New Roman" w:cs="Times"/>
        </w:rPr>
        <w:t xml:space="preserve"> les plus réputés. On leur prête des vertus que nous pourrions qualifier de miraculeuses : « Ils pouvaient voyager sur le sol, sous le sol, dans les airs : en s'ouvrant une veine, chacun d'eux pouvait inonder des régions tout entières ou, au contraire, fai</w:t>
      </w:r>
      <w:r w:rsidRPr="009A6BD2">
        <w:rPr>
          <w:rFonts w:ascii="Times New Roman" w:hAnsi="Times New Roman" w:cs="Times"/>
        </w:rPr>
        <w:t>re émerger des terres nouvelles ; dans une muraille de rochers, ils faisaient apparaître un lac ou s'ouvrir une gorge qui leur servirait de passage ; là où ils plantaient leur nurtunja, des rocs ou des arbres sortaient de terre </w:t>
      </w:r>
      <w:r w:rsidRPr="009A6BD2">
        <w:rPr>
          <w:rStyle w:val="Rimandonotaapidipagina"/>
          <w:rFonts w:ascii="Times New Roman" w:hAnsi="Times New Roman" w:cs="Times"/>
        </w:rPr>
        <w:footnoteReference w:id="574"/>
      </w:r>
      <w:r w:rsidRPr="009A6BD2">
        <w:rPr>
          <w:rFonts w:ascii="Times New Roman" w:hAnsi="Times New Roman" w:cs="Times"/>
        </w:rPr>
        <w:t xml:space="preserve"> ». Ce sont eux qui ont don</w:t>
      </w:r>
      <w:r w:rsidRPr="009A6BD2">
        <w:rPr>
          <w:rFonts w:ascii="Times New Roman" w:hAnsi="Times New Roman" w:cs="Times"/>
        </w:rPr>
        <w:t>né au sol la forme qu'il a présentement. Ils ont créé toutes sortes d'êtres, hommes ou animaux. Ce sont presque les dieux. Leurs âmes ont donc également un caractère divin. Et puisque les âmes des hommes sont ces âmes ancestrales réincarnées dans des corps</w:t>
      </w:r>
      <w:r w:rsidRPr="009A6BD2">
        <w:rPr>
          <w:rFonts w:ascii="Times New Roman" w:hAnsi="Times New Roman" w:cs="Times"/>
        </w:rPr>
        <w:t xml:space="preserve"> humains, elles sont elles-mêmes des êtres sacrés.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second lieu, ces ancêtres n'étaient pas des hommes, au sens propre du mot, mais des animaux ou des végétaux, ou bien des êtres mixtes où l'élément animal ou végétal prédominait : « Les ancêtres qui viv</w:t>
      </w:r>
      <w:r w:rsidRPr="009A6BD2">
        <w:rPr>
          <w:rFonts w:ascii="Times New Roman" w:hAnsi="Times New Roman" w:cs="Times"/>
        </w:rPr>
        <w:t xml:space="preserve">aient dans ces temps fabuleux, disent Spencer et Gillen, étaient, suivant l'opinion des indigènes, si étroitement associés avec les animaux et les plantes dont ils portaient le nom qu'un personnage de l'Alcheringa qui appartient au totem du kangourou, par </w:t>
      </w:r>
      <w:r w:rsidRPr="009A6BD2">
        <w:rPr>
          <w:rFonts w:ascii="Times New Roman" w:hAnsi="Times New Roman" w:cs="Times"/>
        </w:rPr>
        <w:t>exemple, est souvent représenté dans les mythes comme un homme-kangourou on un kangourou-homme. Sa personnalité humaine est souvent absorbée par celle de la plante ou de l'animal dont il est censé descendu </w:t>
      </w:r>
      <w:r w:rsidRPr="009A6BD2">
        <w:rPr>
          <w:rStyle w:val="Rimandonotaapidipagina"/>
          <w:rFonts w:ascii="Times New Roman" w:hAnsi="Times New Roman" w:cs="Times"/>
        </w:rPr>
        <w:footnoteReference w:id="575"/>
      </w:r>
      <w:r w:rsidRPr="009A6BD2">
        <w:rPr>
          <w:rFonts w:ascii="Times New Roman" w:hAnsi="Times New Roman" w:cs="Times"/>
        </w:rPr>
        <w:t xml:space="preserve"> ». Leurs âmes, qui durent toujours, ont nécessai</w:t>
      </w:r>
      <w:r w:rsidRPr="009A6BD2">
        <w:rPr>
          <w:rFonts w:ascii="Times New Roman" w:hAnsi="Times New Roman" w:cs="Times"/>
        </w:rPr>
        <w:t>rement la même nature ; en elles aussi se marient l'élément humain et l'élément animal, avec une certaine tendance du second à prédominer sur le premier. Elles sont donc faites de la même substance que le principe totémique ; car nous savons que ce dernier</w:t>
      </w:r>
      <w:r w:rsidRPr="009A6BD2">
        <w:rPr>
          <w:rFonts w:ascii="Times New Roman" w:hAnsi="Times New Roman" w:cs="Times"/>
        </w:rPr>
        <w:t xml:space="preserve"> a précisément pour caractéristique de présenter ce double aspect, de synthétiser et de confondre en soi les deux règnes.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Puisqu'il n'existe pas d'autres âmes que celles-là, nous arrivons à cette conclusion que l'âme, d'une manière générale, n'est pas aut</w:t>
      </w:r>
      <w:r w:rsidRPr="009A6BD2">
        <w:rPr>
          <w:rFonts w:ascii="Times New Roman" w:hAnsi="Times New Roman" w:cs="Times"/>
        </w:rPr>
        <w:t>re chose que le principe totémique, incarné dans chaque individu. Et il n'y a dans cette dérivation rien qui puisse nous surprendre. Déjà nous savons que ce principe est immanent à chacun des membres du clan. Mais, en pénétrant dans les individus, il est i</w:t>
      </w:r>
      <w:r w:rsidRPr="009A6BD2">
        <w:rPr>
          <w:rFonts w:ascii="Times New Roman" w:hAnsi="Times New Roman" w:cs="Times"/>
        </w:rPr>
        <w:t>névitable qu'il s'individualise lui-même. Parce que les consciences, dont il devient ainsi un élément intégrant, diffèrent les unes des autres, il se différencie à leur image; parce que chacune a sa physionomie propre, il prend, en chacune, une physionomie</w:t>
      </w:r>
      <w:r w:rsidRPr="009A6BD2">
        <w:rPr>
          <w:rFonts w:ascii="Times New Roman" w:hAnsi="Times New Roman" w:cs="Times"/>
        </w:rPr>
        <w:t xml:space="preserve"> distincte. Sans doute, en lui-même, il reste une force extérieure et étrangère à l'homme; mais la parcelle que chacun est censé en posséder ne peut pas ne pas contracter d'étroites affinités avec le sujet particulier en qui elle réside : elle participe de</w:t>
      </w:r>
      <w:r w:rsidRPr="009A6BD2">
        <w:rPr>
          <w:rFonts w:ascii="Times New Roman" w:hAnsi="Times New Roman" w:cs="Times"/>
        </w:rPr>
        <w:t xml:space="preserve"> sa nature; elle devient sienne en quelque mesure. Elle a ainsi deux caractères contradictoires, mais dont la coexistence est un des traits distinctifs de la notion d'âme. Aujourd'hui comme autrefois, l'âme est, d'une part, ce qu'il y a de meilleur et de p</w:t>
      </w:r>
      <w:r w:rsidRPr="009A6BD2">
        <w:rPr>
          <w:rFonts w:ascii="Times New Roman" w:hAnsi="Times New Roman" w:cs="Times"/>
        </w:rPr>
        <w:t>lus profond en nous-mêmes, la partie émi</w:t>
      </w:r>
      <w:r w:rsidRPr="009A6BD2">
        <w:rPr>
          <w:rFonts w:ascii="Times New Roman" w:hAnsi="Times New Roman" w:cs="Times"/>
        </w:rPr>
        <w:softHyphen/>
        <w:t>nente de notre être ; et pourtant, c'est aussi un hôte de passage qui nous est venu du dehors, qui vit en nous une existence distincte de celle du corps, et qui doit reprendre un jour sa complète indépendance. En un</w:t>
      </w:r>
      <w:r w:rsidRPr="009A6BD2">
        <w:rPr>
          <w:rFonts w:ascii="Times New Roman" w:hAnsi="Times New Roman" w:cs="Times"/>
        </w:rPr>
        <w:t xml:space="preserve"> mot, de même que la société n'existe que clans et par les individus, le principe totémique ne vit que dans et par les consciences individuelles dont l'association forme le clan. Si elles ne le sentaient pas en elles, il ne serait pas ; ce sont elles qui l</w:t>
      </w:r>
      <w:r w:rsidRPr="009A6BD2">
        <w:rPr>
          <w:rFonts w:ascii="Times New Roman" w:hAnsi="Times New Roman" w:cs="Times"/>
        </w:rPr>
        <w:t>e mettent dans les choses. Il est donc nécessité à se partager et à se fragmenter entre elles. Chacun de ces fragments est une âme.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 mythe que nous trouvons dans un assez grand nombre de sociétés du centre, et qui, d'ailleurs, n'est qu'une forme particu</w:t>
      </w:r>
      <w:r w:rsidRPr="009A6BD2">
        <w:rPr>
          <w:rFonts w:ascii="Times New Roman" w:hAnsi="Times New Roman" w:cs="Times"/>
        </w:rPr>
        <w:t>lière des précédents, montre mieux encore que telle est bien la matière dont est faite l'idée d'âme. Dans ces tribus, la tradition met à l'origine de chaque clan, non pas une pluralité d'ancêtres, mais deux seulement </w:t>
      </w:r>
      <w:r w:rsidRPr="009A6BD2">
        <w:rPr>
          <w:rStyle w:val="Rimandonotaapidipagina"/>
          <w:rFonts w:ascii="Times New Roman" w:hAnsi="Times New Roman" w:cs="Times"/>
        </w:rPr>
        <w:footnoteReference w:id="576"/>
      </w:r>
      <w:r w:rsidRPr="009A6BD2">
        <w:rPr>
          <w:rFonts w:ascii="Times New Roman" w:hAnsi="Times New Roman" w:cs="Times"/>
        </w:rPr>
        <w:t>, ou même un seul </w:t>
      </w:r>
      <w:r w:rsidRPr="009A6BD2">
        <w:rPr>
          <w:rStyle w:val="Rimandonotaapidipagina"/>
          <w:rFonts w:ascii="Times New Roman" w:hAnsi="Times New Roman" w:cs="Times"/>
        </w:rPr>
        <w:footnoteReference w:id="577"/>
      </w:r>
      <w:r w:rsidRPr="009A6BD2">
        <w:rPr>
          <w:rFonts w:ascii="Times New Roman" w:hAnsi="Times New Roman" w:cs="Times"/>
        </w:rPr>
        <w:t xml:space="preserve">. Cet être unique, </w:t>
      </w:r>
      <w:r w:rsidRPr="009A6BD2">
        <w:rPr>
          <w:rFonts w:ascii="Times New Roman" w:hAnsi="Times New Roman" w:cs="Times"/>
        </w:rPr>
        <w:t>tant qu'il resta ainsi solitaire, contenait en soi l'intégralité du principe totémique, puisque, à ce moment, il n'existait encore rien à quoi ce principe ait pu se communiquer. Or, suivant la même tradition, toutes les âmes humaines qui existent, et celle</w:t>
      </w:r>
      <w:r w:rsidRPr="009A6BD2">
        <w:rPr>
          <w:rFonts w:ascii="Times New Roman" w:hAnsi="Times New Roman" w:cs="Times"/>
        </w:rPr>
        <w:t>s qui animent présentement les corps des hommes et celles qui, actuellement inemployées, sont en réserve pour l'avenir, seraient issues de ce personnage unique ; elles seraient faites de sa substance. En se mouvant sur la surface du sol, en s'agitant, en s</w:t>
      </w:r>
      <w:r w:rsidRPr="009A6BD2">
        <w:rPr>
          <w:rFonts w:ascii="Times New Roman" w:hAnsi="Times New Roman" w:cs="Times"/>
        </w:rPr>
        <w:t>e secouant, il les aurait fait sortir de son corps et les aurait semées dans les divers lieux qu'il passe pour avoir traversés. N'est-ce pas dire, sous une forme symbolique, que ce sont des parcelles de la divinité totémique ?</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cette conclusion supp</w:t>
      </w:r>
      <w:r w:rsidRPr="009A6BD2">
        <w:rPr>
          <w:rFonts w:ascii="Times New Roman" w:hAnsi="Times New Roman" w:cs="Times"/>
        </w:rPr>
        <w:t>ose que les tribus dont il vient d'être question admettent la doctrine de la réincarnation. Or, selon Strehlow, elle serait ignorée des Arunta, c'est-à-dire de la société que Spencer et Gillen ont le plus longtemps et le mieux étudiée. Si, dans ce cas part</w:t>
      </w:r>
      <w:r w:rsidRPr="009A6BD2">
        <w:rPr>
          <w:rFonts w:ascii="Times New Roman" w:hAnsi="Times New Roman" w:cs="Times"/>
        </w:rPr>
        <w:t>iculier, ces deux observateurs s'étaient à ce point mépris, tout l'ensemble de leur témoi</w:t>
      </w:r>
      <w:r w:rsidRPr="009A6BD2">
        <w:rPr>
          <w:rFonts w:ascii="Times New Roman" w:hAnsi="Times New Roman" w:cs="Times"/>
        </w:rPr>
        <w:softHyphen/>
        <w:t>gnage devrait être considéré comme suspect. Il importe donc de déterminer la portée réelle de cette divergence.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D'après Strehlow, l'âme, une fois définitivement affr</w:t>
      </w:r>
      <w:r w:rsidRPr="009A6BD2">
        <w:rPr>
          <w:rFonts w:ascii="Times New Roman" w:hAnsi="Times New Roman" w:cs="Times"/>
        </w:rPr>
        <w:t>anchie du corps par les rites du deuil, ne se réincarnerait plus à nouveau. Elle s'en irait à l'île des morts, où elle passerait les jours à dormir et les nuits à danser, jusqu'à ce qu'il ait plu sur la terre. A ce moment, elle reviendrait au milieu des vi</w:t>
      </w:r>
      <w:r w:rsidRPr="009A6BD2">
        <w:rPr>
          <w:rFonts w:ascii="Times New Roman" w:hAnsi="Times New Roman" w:cs="Times"/>
        </w:rPr>
        <w:t xml:space="preserve">vants et jouerait le rôle de génie protecteur auprès des fils en bas âge, ou, à leur défaut, auprès des petits-fils que le mort a laissés derrière lui ; elle s'introduirait dans leurs corps et en faciliterait la croissance. Elle resterait ainsi, au milieu </w:t>
      </w:r>
      <w:r w:rsidRPr="009A6BD2">
        <w:rPr>
          <w:rFonts w:ascii="Times New Roman" w:hAnsi="Times New Roman" w:cs="Times"/>
        </w:rPr>
        <w:t xml:space="preserve">de son ancienne famille, pendant un an ou deux; après quoi, elle s'en retournerait au pays des âmes. Mais, au bout d'un certain temps, elle le quitterait derechef pour revenir faire sur terre un nouveau séjour qui, d'ailleurs, serait le dernier. Un moment </w:t>
      </w:r>
      <w:r w:rsidRPr="009A6BD2">
        <w:rPr>
          <w:rFonts w:ascii="Times New Roman" w:hAnsi="Times New Roman" w:cs="Times"/>
        </w:rPr>
        <w:t>viendrait où elle serait obligée de reprendre, et, cette fois, sans esprit de retour, la toute de l'île des morts ; et là, après divers incidents dont il est inutile de rapporter le détail, un orage surviendrait au cours duquel elle serait foudroyée par un</w:t>
      </w:r>
      <w:r w:rsidRPr="009A6BD2">
        <w:rPr>
          <w:rFonts w:ascii="Times New Roman" w:hAnsi="Times New Roman" w:cs="Times"/>
        </w:rPr>
        <w:t xml:space="preserve"> éclair. Sa carrière serait, alors, définitivement terminée </w:t>
      </w:r>
      <w:r w:rsidRPr="009A6BD2">
        <w:rPr>
          <w:rStyle w:val="Rimandonotaapidipagina"/>
          <w:rFonts w:ascii="Times New Roman" w:hAnsi="Times New Roman" w:cs="Times"/>
        </w:rPr>
        <w:footnoteReference w:id="57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Elle ne saurait donc se réincarner ; par suite, les conceptions et les naissances ne seraient pas dues à la réincarnation d'âmes qui, périodiquement, recommenceraient dans des corps nouveaux d</w:t>
      </w:r>
      <w:r w:rsidRPr="009A6BD2">
        <w:rPr>
          <w:rFonts w:ascii="Times New Roman" w:hAnsi="Times New Roman" w:cs="Times"/>
        </w:rPr>
        <w:t>e nouvelles existences. Sans doute, Strehlow, tout comme Spencer et Gillen, déclare que, pour les Arunta, le commerce des sexes n'est aucunement la condition détermi</w:t>
      </w:r>
      <w:r w:rsidRPr="009A6BD2">
        <w:rPr>
          <w:rFonts w:ascii="Times New Roman" w:hAnsi="Times New Roman" w:cs="Times"/>
        </w:rPr>
        <w:softHyphen/>
        <w:t>nante de la génération </w:t>
      </w:r>
      <w:r w:rsidRPr="009A6BD2">
        <w:rPr>
          <w:rStyle w:val="Rimandonotaapidipagina"/>
          <w:rFonts w:ascii="Times New Roman" w:hAnsi="Times New Roman" w:cs="Times"/>
        </w:rPr>
        <w:footnoteReference w:id="579"/>
      </w:r>
      <w:r w:rsidRPr="009A6BD2">
        <w:rPr>
          <w:rFonts w:ascii="Times New Roman" w:hAnsi="Times New Roman" w:cs="Times"/>
        </w:rPr>
        <w:t xml:space="preserve"> ; celle-ci serait bien le produit d'opérations mystiques, mais di</w:t>
      </w:r>
      <w:r w:rsidRPr="009A6BD2">
        <w:rPr>
          <w:rFonts w:ascii="Times New Roman" w:hAnsi="Times New Roman" w:cs="Times"/>
        </w:rPr>
        <w:t>ffé</w:t>
      </w:r>
      <w:r w:rsidRPr="009A6BD2">
        <w:rPr>
          <w:rFonts w:ascii="Times New Roman" w:hAnsi="Times New Roman" w:cs="Times"/>
        </w:rPr>
        <w:softHyphen/>
        <w:t>rentes de celles que les précédents observateurs nous avaient fait connaître. Elle aurait lieu par l'un ou l'autre des deux voies suivantes.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Partout où un ancêtre de l'Alcheringa </w:t>
      </w:r>
      <w:r w:rsidRPr="009A6BD2">
        <w:rPr>
          <w:rStyle w:val="Rimandonotaapidipagina"/>
          <w:rFonts w:ascii="Times New Roman" w:hAnsi="Times New Roman" w:cs="Times"/>
        </w:rPr>
        <w:footnoteReference w:id="580"/>
      </w:r>
      <w:r w:rsidRPr="009A6BD2">
        <w:rPr>
          <w:rFonts w:ascii="Times New Roman" w:hAnsi="Times New Roman" w:cs="Times"/>
        </w:rPr>
        <w:t xml:space="preserve"> est censé s'être enfoncé dans le sol, se trouve soit un rocher soit un</w:t>
      </w:r>
      <w:r w:rsidRPr="009A6BD2">
        <w:rPr>
          <w:rFonts w:ascii="Times New Roman" w:hAnsi="Times New Roman" w:cs="Times"/>
        </w:rPr>
        <w:t xml:space="preserve"> arbre qui représente son corps. On appelle </w:t>
      </w:r>
      <w:r w:rsidRPr="009A6BD2">
        <w:rPr>
          <w:rFonts w:ascii="Times New Roman" w:hAnsi="Times New Roman" w:cs="Times"/>
          <w:i/>
          <w:iCs/>
        </w:rPr>
        <w:t xml:space="preserve">nanja, </w:t>
      </w:r>
      <w:r w:rsidRPr="009A6BD2">
        <w:rPr>
          <w:rFonts w:ascii="Times New Roman" w:hAnsi="Times New Roman" w:cs="Times"/>
        </w:rPr>
        <w:t>suivant Spencer et Gillen </w:t>
      </w:r>
      <w:r w:rsidRPr="009A6BD2">
        <w:rPr>
          <w:rStyle w:val="Rimandonotaapidipagina"/>
          <w:rFonts w:ascii="Times New Roman" w:hAnsi="Times New Roman" w:cs="Times"/>
        </w:rPr>
        <w:footnoteReference w:id="581"/>
      </w:r>
      <w:r w:rsidRPr="009A6BD2">
        <w:rPr>
          <w:rFonts w:ascii="Times New Roman" w:hAnsi="Times New Roman" w:cs="Times"/>
        </w:rPr>
        <w:t>, ngarra, suivant Strehlow </w:t>
      </w:r>
      <w:r w:rsidRPr="009A6BD2">
        <w:rPr>
          <w:rStyle w:val="Rimandonotaapidipagina"/>
          <w:rFonts w:ascii="Times New Roman" w:hAnsi="Times New Roman" w:cs="Times"/>
        </w:rPr>
        <w:footnoteReference w:id="582"/>
      </w:r>
      <w:r w:rsidRPr="009A6BD2">
        <w:rPr>
          <w:rFonts w:ascii="Times New Roman" w:hAnsi="Times New Roman" w:cs="Times"/>
        </w:rPr>
        <w:t>, l'arbre ou le rocher qui soutiennent ce rapport mystique avec le héros disparu. Parfois, c'est un trou d'eau qui passe pour s'être formé de cette fa</w:t>
      </w:r>
      <w:r w:rsidRPr="009A6BD2">
        <w:rPr>
          <w:rFonts w:ascii="Times New Roman" w:hAnsi="Times New Roman" w:cs="Times"/>
        </w:rPr>
        <w:t xml:space="preserve">çon. Or, sur chacun de ces arbres, de ces rochers, dans chacun de ces trous d'eau, vivent des embryons d'enfants, appelés ratapa </w:t>
      </w:r>
      <w:r w:rsidRPr="009A6BD2">
        <w:rPr>
          <w:rStyle w:val="Rimandonotaapidipagina"/>
          <w:rFonts w:ascii="Times New Roman" w:hAnsi="Times New Roman" w:cs="Times"/>
        </w:rPr>
        <w:footnoteReference w:id="583"/>
      </w:r>
      <w:r w:rsidRPr="009A6BD2">
        <w:rPr>
          <w:rFonts w:ascii="Times New Roman" w:hAnsi="Times New Roman" w:cs="Times"/>
        </w:rPr>
        <w:t>, qui appartiennent exactement au même totem que l'ancêtre correspondant. Par exemple, sur un gommier qui représente un ancêtr</w:t>
      </w:r>
      <w:r w:rsidRPr="009A6BD2">
        <w:rPr>
          <w:rFonts w:ascii="Times New Roman" w:hAnsi="Times New Roman" w:cs="Times"/>
        </w:rPr>
        <w:t>e du clan du Kangourou, se trouvent des ratapa qui ont tous le Kangourou pour totem. Qu'une femme vienne à passer, et, si elle est de la classe matrimo</w:t>
      </w:r>
      <w:r w:rsidRPr="009A6BD2">
        <w:rPr>
          <w:rFonts w:ascii="Times New Roman" w:hAnsi="Times New Roman" w:cs="Times"/>
        </w:rPr>
        <w:softHyphen/>
        <w:t>niale à laquelle doivent régulièrement appartenir les mères de ces ratapa </w:t>
      </w:r>
      <w:r w:rsidRPr="009A6BD2">
        <w:rPr>
          <w:rStyle w:val="Rimandonotaapidipagina"/>
          <w:rFonts w:ascii="Times New Roman" w:hAnsi="Times New Roman" w:cs="Times"/>
        </w:rPr>
        <w:footnoteReference w:id="584"/>
      </w:r>
      <w:r w:rsidRPr="009A6BD2">
        <w:rPr>
          <w:rFonts w:ascii="Times New Roman" w:hAnsi="Times New Roman" w:cs="Times"/>
        </w:rPr>
        <w:t>, l'un d'eux pourra s'introdu</w:t>
      </w:r>
      <w:r w:rsidRPr="009A6BD2">
        <w:rPr>
          <w:rFonts w:ascii="Times New Roman" w:hAnsi="Times New Roman" w:cs="Times"/>
        </w:rPr>
        <w:t>ire en elle par la hanche. La femme est avertie de cette prise de possession par des douleurs caractéristiques qui sont les premiers symptômes de la grossesse. L'enfant ainsi conçu sera naturellement du même totem que l'ancêtre sur le corps mystique duquel</w:t>
      </w:r>
      <w:r w:rsidRPr="009A6BD2">
        <w:rPr>
          <w:rFonts w:ascii="Times New Roman" w:hAnsi="Times New Roman" w:cs="Times"/>
        </w:rPr>
        <w:t xml:space="preserve"> il résidait avant de s'incarner </w:t>
      </w:r>
      <w:r w:rsidRPr="009A6BD2">
        <w:rPr>
          <w:rStyle w:val="Rimandonotaapidipagina"/>
          <w:rFonts w:ascii="Times New Roman" w:hAnsi="Times New Roman" w:cs="Times"/>
        </w:rPr>
        <w:footnoteReference w:id="58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Dans d'autres cas, le procédé employé est légèrement différent : c'est l'ancêtre lui-même qui opère en personne. A un moment donné, il sort de sa retraite souterraine et lance sur une femme qui passe un petit churinga, </w:t>
      </w:r>
      <w:r w:rsidRPr="009A6BD2">
        <w:rPr>
          <w:rFonts w:ascii="Times New Roman" w:hAnsi="Times New Roman" w:cs="Times"/>
        </w:rPr>
        <w:t>d'une forme spéciale, appelé mamatuna </w:t>
      </w:r>
      <w:r w:rsidRPr="009A6BD2">
        <w:rPr>
          <w:rStyle w:val="Rimandonotaapidipagina"/>
          <w:rFonts w:ascii="Times New Roman" w:hAnsi="Times New Roman" w:cs="Times"/>
        </w:rPr>
        <w:footnoteReference w:id="586"/>
      </w:r>
      <w:r w:rsidRPr="009A6BD2">
        <w:rPr>
          <w:rFonts w:ascii="Times New Roman" w:hAnsi="Times New Roman" w:cs="Times"/>
        </w:rPr>
        <w:t>. Le churinga pénètre dans le corps de la femme et y prend une forme humaine tandis que l'ancêtre disparaît à nouveau dans le sol </w:t>
      </w:r>
      <w:r w:rsidRPr="009A6BD2">
        <w:rPr>
          <w:rStyle w:val="Rimandonotaapidipagina"/>
          <w:rFonts w:ascii="Times New Roman" w:hAnsi="Times New Roman" w:cs="Times"/>
        </w:rPr>
        <w:footnoteReference w:id="58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deux modes de conception passent pour être aussi fréquents l'un que l'autre. C'</w:t>
      </w:r>
      <w:r w:rsidRPr="009A6BD2">
        <w:rPr>
          <w:rFonts w:ascii="Times New Roman" w:hAnsi="Times New Roman" w:cs="Times"/>
        </w:rPr>
        <w:t>est la forme du visage de l'enfant qui révèlerait la manière dont il a été conçu: selon qu'il a la figure ou large ou allongée, on dit qu'il est dû à l'incarnation d'un ratapa ou d'un namatuna. Cependant, outre ces deux procédés de fécondation, Strehlow en</w:t>
      </w:r>
      <w:r w:rsidRPr="009A6BD2">
        <w:rPr>
          <w:rFonts w:ascii="Times New Roman" w:hAnsi="Times New Roman" w:cs="Times"/>
        </w:rPr>
        <w:t xml:space="preserve"> signale un troisième, mais qui passe pour être beaucoup plus rare. L'ancêtre, après que son namatuna a pénétré dans le corps de la femme, s'y introduirait lui-même et se soumettrait volontairement à une nouvelle naissance. La conception serait donc due ce</w:t>
      </w:r>
      <w:r w:rsidRPr="009A6BD2">
        <w:rPr>
          <w:rFonts w:ascii="Times New Roman" w:hAnsi="Times New Roman" w:cs="Times"/>
        </w:rPr>
        <w:t xml:space="preserve">tte fois à une véritable réincarnation d'ancêtre. Seulement, le cas serait très exceptionnel et, de plus, quand l'homme ainsi conçu meurt, l'âme ancestrale qui l'animait s'en irait, comme les âmes ordinaires, à l'île des morts où, après les délais usuels, </w:t>
      </w:r>
      <w:r w:rsidRPr="009A6BD2">
        <w:rPr>
          <w:rFonts w:ascii="Times New Roman" w:hAnsi="Times New Roman" w:cs="Times"/>
        </w:rPr>
        <w:t>elle serait définitivement anéantie. Elle ne subirait donc pas de nouvelles réincarnations </w:t>
      </w:r>
      <w:r w:rsidRPr="009A6BD2">
        <w:rPr>
          <w:rStyle w:val="Rimandonotaapidipagina"/>
          <w:rFonts w:ascii="Times New Roman" w:hAnsi="Times New Roman" w:cs="Times"/>
        </w:rPr>
        <w:footnoteReference w:id="58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Telle est la version de Strehlow </w:t>
      </w:r>
      <w:r w:rsidRPr="009A6BD2">
        <w:rPr>
          <w:rStyle w:val="Rimandonotaapidipagina"/>
          <w:rFonts w:ascii="Times New Roman" w:hAnsi="Times New Roman" w:cs="Times"/>
        </w:rPr>
        <w:footnoteReference w:id="589"/>
      </w:r>
      <w:r w:rsidRPr="009A6BD2">
        <w:rPr>
          <w:rFonts w:ascii="Times New Roman" w:hAnsi="Times New Roman" w:cs="Times"/>
        </w:rPr>
        <w:t xml:space="preserve">. Dans la pensée de cet auteur, elle s'opposerait radicalement à celle de Spencer et Gillen. En réalité, elle n'en diffère que </w:t>
      </w:r>
      <w:r w:rsidRPr="009A6BD2">
        <w:rPr>
          <w:rFonts w:ascii="Times New Roman" w:hAnsi="Times New Roman" w:cs="Times"/>
        </w:rPr>
        <w:t>par la lettre des formules et des symboles, mais sous des variantes de forme, c'est, de part et d'autre, le même thème mythique.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En premier lieu, tous ces observateurs sont d'accord pour voir dans toute conception le produit d'une incarnation. Seulement, </w:t>
      </w:r>
      <w:r w:rsidRPr="009A6BD2">
        <w:rPr>
          <w:rFonts w:ascii="Times New Roman" w:hAnsi="Times New Roman" w:cs="Times"/>
        </w:rPr>
        <w:t>suivant Strehlow, ce qui s'incarne, ce n'est pas une âme, mais un ratapa ou un namatuna. Qu'est-ce donc qu'un ratapa ? C'est, dit Strehlow, un embryon complet, fait à la fois d'une âme et d'un corps. Mais l'âme est toujours représen</w:t>
      </w:r>
      <w:r w:rsidRPr="009A6BD2">
        <w:rPr>
          <w:rFonts w:ascii="Times New Roman" w:hAnsi="Times New Roman" w:cs="Times"/>
        </w:rPr>
        <w:softHyphen/>
        <w:t>tée sous des formes mat</w:t>
      </w:r>
      <w:r w:rsidRPr="009A6BD2">
        <w:rPr>
          <w:rFonts w:ascii="Times New Roman" w:hAnsi="Times New Roman" w:cs="Times"/>
        </w:rPr>
        <w:t>érielles ; elle dort, danse, chasse, mange, etc. Elle comprend donc, elle aussi, un élément corporel. Inversement, le ratapa n'est pas visible du vulgaire ; nul ne le voit, quand il s'introduit dans le corps de la femme </w:t>
      </w:r>
      <w:r w:rsidRPr="009A6BD2">
        <w:rPr>
          <w:rStyle w:val="Rimandonotaapidipagina"/>
          <w:rFonts w:ascii="Times New Roman" w:hAnsi="Times New Roman" w:cs="Times"/>
        </w:rPr>
        <w:footnoteReference w:id="590"/>
      </w:r>
      <w:r w:rsidRPr="009A6BD2">
        <w:rPr>
          <w:rFonts w:ascii="Times New Roman" w:hAnsi="Times New Roman" w:cs="Times"/>
        </w:rPr>
        <w:t>; c'est dire qu'il est fait d'une m</w:t>
      </w:r>
      <w:r w:rsidRPr="009A6BD2">
        <w:rPr>
          <w:rFonts w:ascii="Times New Roman" w:hAnsi="Times New Roman" w:cs="Times"/>
        </w:rPr>
        <w:t>atière très comparable à celle de l'âme. Ainsi, sous ce rapport, il ne semble pas qu'il soit possible de les différencier nettement l'un de l'autre. Ce sont, en définitive, des êtres mythiques qui sont sensiblement conçus d'après le même modèle. Schulze le</w:t>
      </w:r>
      <w:r w:rsidRPr="009A6BD2">
        <w:rPr>
          <w:rFonts w:ascii="Times New Roman" w:hAnsi="Times New Roman" w:cs="Times"/>
        </w:rPr>
        <w:t>s appelle des âmes d'enfants </w:t>
      </w:r>
      <w:r w:rsidRPr="009A6BD2">
        <w:rPr>
          <w:rStyle w:val="Rimandonotaapidipagina"/>
          <w:rFonts w:ascii="Times New Roman" w:hAnsi="Times New Roman" w:cs="Times"/>
        </w:rPr>
        <w:footnoteReference w:id="591"/>
      </w:r>
      <w:r w:rsidRPr="009A6BD2">
        <w:rPr>
          <w:rFonts w:ascii="Times New Roman" w:hAnsi="Times New Roman" w:cs="Times"/>
        </w:rPr>
        <w:t xml:space="preserve">. De plus, tout comme l'âme, le ratapa soutient, avec l'ancêtre dont l'arbre ou le rocher sacrés sont des formes matérialisées, les relations les plus étroites. Il est du même totem que cet ancêtre, de la même phratrie, de la </w:t>
      </w:r>
      <w:r w:rsidRPr="009A6BD2">
        <w:rPr>
          <w:rFonts w:ascii="Times New Roman" w:hAnsi="Times New Roman" w:cs="Times"/>
        </w:rPr>
        <w:t>même classe matrimoniale </w:t>
      </w:r>
      <w:r w:rsidRPr="009A6BD2">
        <w:rPr>
          <w:rStyle w:val="Rimandonotaapidipagina"/>
          <w:rFonts w:ascii="Times New Roman" w:hAnsi="Times New Roman" w:cs="Times"/>
        </w:rPr>
        <w:footnoteReference w:id="592"/>
      </w:r>
      <w:r w:rsidRPr="009A6BD2">
        <w:rPr>
          <w:rFonts w:ascii="Times New Roman" w:hAnsi="Times New Roman" w:cs="Times"/>
        </w:rPr>
        <w:t>. Sa place dans les cadres sociaux de la tribu est exactement celle que l'ancêtre est censé y avoir occupée autrefois. Il porte le même nom </w:t>
      </w:r>
      <w:r w:rsidRPr="009A6BD2">
        <w:rPr>
          <w:rStyle w:val="Rimandonotaapidipagina"/>
          <w:rFonts w:ascii="Times New Roman" w:hAnsi="Times New Roman" w:cs="Times"/>
        </w:rPr>
        <w:footnoteReference w:id="593"/>
      </w:r>
      <w:r w:rsidRPr="009A6BD2">
        <w:rPr>
          <w:rFonts w:ascii="Times New Roman" w:hAnsi="Times New Roman" w:cs="Times"/>
        </w:rPr>
        <w:t>. C'est la preuve que ces deux personnalités sont, pour le moins, très proches parentes l</w:t>
      </w:r>
      <w:r w:rsidRPr="009A6BD2">
        <w:rPr>
          <w:rFonts w:ascii="Times New Roman" w:hAnsi="Times New Roman" w:cs="Times"/>
        </w:rPr>
        <w:t>'une de l'autre.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plus ; cette parenté va jusqu'à une complète identité. C'est en effet, sur le corps mystique de l'ancêtre que le ratapa s'est formé ; il en vient ; il est comme une parcelle qui s'en serait détachée. C'est donc, en somme, quelque c</w:t>
      </w:r>
      <w:r w:rsidRPr="009A6BD2">
        <w:rPr>
          <w:rFonts w:ascii="Times New Roman" w:hAnsi="Times New Roman" w:cs="Times"/>
        </w:rPr>
        <w:t xml:space="preserve">hose de l'ancêtre qui pénètre dans le sein de la mère et qui devient l'enfant. Et ainsi nous revenons à la conception de Spencer et Gillen : la naissance est due à l'incarnation d'un personnage ancestral. Sans doute, ce n'est pas ce personnage tout entier </w:t>
      </w:r>
      <w:r w:rsidRPr="009A6BD2">
        <w:rPr>
          <w:rFonts w:ascii="Times New Roman" w:hAnsi="Times New Roman" w:cs="Times"/>
        </w:rPr>
        <w:t>qui s'incarne ; ce n'en est qu'une émanation. Mais la différence est d'un intérêt tout à fait secondaire, puisque, quand un être sacré se divise et se dédouble, il se retrouve, avec tous ses caractères essentiels, dans chacun des fragments entre lesquels i</w:t>
      </w:r>
      <w:r w:rsidRPr="009A6BD2">
        <w:rPr>
          <w:rFonts w:ascii="Times New Roman" w:hAnsi="Times New Roman" w:cs="Times"/>
        </w:rPr>
        <w:t>l s'est partagé. L'ancêtre de l'Alcheringa est donc, au fond, tout entier dans cet élément de lui-même qui devient un ratapa </w:t>
      </w:r>
      <w:r w:rsidRPr="009A6BD2">
        <w:rPr>
          <w:rStyle w:val="Rimandonotaapidipagina"/>
          <w:rFonts w:ascii="Times New Roman" w:hAnsi="Times New Roman" w:cs="Times"/>
        </w:rPr>
        <w:footnoteReference w:id="59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 second mode de conception, distingué par Strehlow, a la même signification. Le churinga, en effet, et, spécialement, ce chur</w:t>
      </w:r>
      <w:r w:rsidRPr="009A6BD2">
        <w:rPr>
          <w:rFonts w:ascii="Times New Roman" w:hAnsi="Times New Roman" w:cs="Times"/>
        </w:rPr>
        <w:t>inga particulier qu'on appelle le namatuna, est considéré comme un avatar de l'ancêtre ; c'en est le corps, suivant Strehlow </w:t>
      </w:r>
      <w:r w:rsidRPr="009A6BD2">
        <w:rPr>
          <w:rStyle w:val="Rimandonotaapidipagina"/>
          <w:rFonts w:ascii="Times New Roman" w:hAnsi="Times New Roman" w:cs="Times"/>
        </w:rPr>
        <w:footnoteReference w:id="595"/>
      </w:r>
      <w:r w:rsidRPr="009A6BD2">
        <w:rPr>
          <w:rFonts w:ascii="Times New Roman" w:hAnsi="Times New Roman" w:cs="Times"/>
        </w:rPr>
        <w:t>, tout comme l'arbre nanja. En d'autres termes, la personnalité de l'ancêtre, son churinga, son arbre nanja sont des choses sacrée</w:t>
      </w:r>
      <w:r w:rsidRPr="009A6BD2">
        <w:rPr>
          <w:rFonts w:ascii="Times New Roman" w:hAnsi="Times New Roman" w:cs="Times"/>
        </w:rPr>
        <w:t>s, qui inspirent les mêmes sentiments et auxquelles on attribue la même valeur religieuse. Aussi se transforment-elles les unes dans les autres : là où l'ancêtre a perdu un churinga, un arbre ou un rocher sacrés sont sortis de terre, tout comme aux endroit</w:t>
      </w:r>
      <w:r w:rsidRPr="009A6BD2">
        <w:rPr>
          <w:rFonts w:ascii="Times New Roman" w:hAnsi="Times New Roman" w:cs="Times"/>
        </w:rPr>
        <w:t>s où il s'est lui-même abîmé dans le sol </w:t>
      </w:r>
      <w:r w:rsidRPr="009A6BD2">
        <w:rPr>
          <w:rStyle w:val="Rimandonotaapidipagina"/>
          <w:rFonts w:ascii="Times New Roman" w:hAnsi="Times New Roman" w:cs="Times"/>
        </w:rPr>
        <w:footnoteReference w:id="596"/>
      </w:r>
      <w:r w:rsidRPr="009A6BD2">
        <w:rPr>
          <w:rFonts w:ascii="Times New Roman" w:hAnsi="Times New Roman" w:cs="Times"/>
        </w:rPr>
        <w:t xml:space="preserve">. Il y a donc une équivalence mythique entre un personnage de l'Alcheringa et son churinga ; par suite, quand le premier lance un namatuna dans le corps d'une femme, c'est Comme S'il y pénétrait lui-même. En fait, </w:t>
      </w:r>
      <w:r w:rsidRPr="009A6BD2">
        <w:rPr>
          <w:rFonts w:ascii="Times New Roman" w:hAnsi="Times New Roman" w:cs="Times"/>
        </w:rPr>
        <w:t>nous avons vu qu'il s'y introduit parfois en personne à la suite du namatuna ; d'après d'autres récits, il l'y précède; on dirait qui lui fraye la voie </w:t>
      </w:r>
      <w:r w:rsidRPr="009A6BD2">
        <w:rPr>
          <w:rStyle w:val="Rimandonotaapidipagina"/>
          <w:rFonts w:ascii="Times New Roman" w:hAnsi="Times New Roman" w:cs="Times"/>
        </w:rPr>
        <w:footnoteReference w:id="597"/>
      </w:r>
      <w:r w:rsidRPr="009A6BD2">
        <w:rPr>
          <w:rFonts w:ascii="Times New Roman" w:hAnsi="Times New Roman" w:cs="Times"/>
        </w:rPr>
        <w:t>. Le fait que ces thèmes coexistent dans un même mythe achève de montrer que l'un n'est qu'un doublet d</w:t>
      </w:r>
      <w:r w:rsidRPr="009A6BD2">
        <w:rPr>
          <w:rFonts w:ascii="Times New Roman" w:hAnsi="Times New Roman" w:cs="Times"/>
        </w:rPr>
        <w:t>e l'autre.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D'ailleurs, de quelque manière que la conception ait eu lieu, il n'est pas douteux que chaque individu est uni à un ancêtre déterminé de l'Alcheringa, par des liens exceptionnelle</w:t>
      </w:r>
      <w:r w:rsidRPr="009A6BD2">
        <w:rPr>
          <w:rFonts w:ascii="Times New Roman" w:hAnsi="Times New Roman" w:cs="Times"/>
        </w:rPr>
        <w:softHyphen/>
        <w:t>ment intimes. D'abord, chaque homme a son ancêtre attitré ; deux</w:t>
      </w:r>
      <w:r w:rsidRPr="009A6BD2">
        <w:rPr>
          <w:rFonts w:ascii="Times New Roman" w:hAnsi="Times New Roman" w:cs="Times"/>
        </w:rPr>
        <w:t xml:space="preserve"> personnes ne peuvent avoir simultanément le même. Autrement dit, un être de l'Alcheringa ne compte jamais qu'un seul représentant parmi les vivants </w:t>
      </w:r>
      <w:r w:rsidRPr="009A6BD2">
        <w:rPr>
          <w:rStyle w:val="Rimandonotaapidipagina"/>
          <w:rFonts w:ascii="Times New Roman" w:hAnsi="Times New Roman" w:cs="Times"/>
        </w:rPr>
        <w:footnoteReference w:id="598"/>
      </w:r>
      <w:r w:rsidRPr="009A6BD2">
        <w:rPr>
          <w:rFonts w:ascii="Times New Roman" w:hAnsi="Times New Roman" w:cs="Times"/>
        </w:rPr>
        <w:t>. Il y a plus, l'un n'est qu'un aspect de l'autre. En effet, le churinga laissé par l'ancêtre exprime, com</w:t>
      </w:r>
      <w:r w:rsidRPr="009A6BD2">
        <w:rPr>
          <w:rFonts w:ascii="Times New Roman" w:hAnsi="Times New Roman" w:cs="Times"/>
        </w:rPr>
        <w:t>me nous le savons, sa personnalité ; si nous adoptons l'interprétation que rapporte Strehlow, et qui est peut-être la plus satisfaisante, nous dirons que c'est son corps. Mais ce même churinga est apparenté de la même manière à l'individu qui est sensé avo</w:t>
      </w:r>
      <w:r w:rsidRPr="009A6BD2">
        <w:rPr>
          <w:rFonts w:ascii="Times New Roman" w:hAnsi="Times New Roman" w:cs="Times"/>
        </w:rPr>
        <w:t>ir été conçu sous l'influence de l'ancêtre, c'est-à-dire qui est le fruit de ses oeuvres mystiques. Quand on introduit le jeune initié dans le sanctuaire du clan, on lui montre le churinga de son ancêtre en lui disant: « Tu es ce corps ; tu es la même chos</w:t>
      </w:r>
      <w:r w:rsidRPr="009A6BD2">
        <w:rPr>
          <w:rFonts w:ascii="Times New Roman" w:hAnsi="Times New Roman" w:cs="Times"/>
        </w:rPr>
        <w:t>e que cela » </w:t>
      </w:r>
      <w:r w:rsidRPr="009A6BD2">
        <w:rPr>
          <w:rStyle w:val="Rimandonotaapidipagina"/>
          <w:rFonts w:ascii="Times New Roman" w:hAnsi="Times New Roman" w:cs="Times"/>
        </w:rPr>
        <w:footnoteReference w:id="599"/>
      </w:r>
      <w:r w:rsidRPr="009A6BD2">
        <w:rPr>
          <w:rFonts w:ascii="Times New Roman" w:hAnsi="Times New Roman" w:cs="Times"/>
        </w:rPr>
        <w:t>. Le churinga est donc, suivant l'expression même de Strehlow, « le corps commun de l'individu et de son ancêtre </w:t>
      </w:r>
      <w:r w:rsidRPr="009A6BD2">
        <w:rPr>
          <w:rStyle w:val="Rimandonotaapidipagina"/>
          <w:rFonts w:ascii="Times New Roman" w:hAnsi="Times New Roman" w:cs="Times"/>
        </w:rPr>
        <w:footnoteReference w:id="600"/>
      </w:r>
      <w:r w:rsidRPr="009A6BD2">
        <w:rPr>
          <w:rFonts w:ascii="Times New Roman" w:hAnsi="Times New Roman" w:cs="Times"/>
        </w:rPr>
        <w:t xml:space="preserve"> ».</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Pour qu'ils puissent avoir le même corps, il faut que, par un côté tout au moins, leurs deux personnalités se confondent. C</w:t>
      </w:r>
      <w:r w:rsidRPr="009A6BD2">
        <w:rPr>
          <w:rFonts w:ascii="Times New Roman" w:hAnsi="Times New Roman" w:cs="Times"/>
        </w:rPr>
        <w:t>'est d'ailleurs ce que reconnaît explicitement Strehlow : « Par le tjutunga (churinga), dit-il, l'individu est uni à son ancêtre personnel </w:t>
      </w:r>
      <w:r w:rsidRPr="009A6BD2">
        <w:rPr>
          <w:rStyle w:val="Rimandonotaapidipagina"/>
          <w:rFonts w:ascii="Times New Roman" w:hAnsi="Times New Roman" w:cs="Times"/>
        </w:rPr>
        <w:footnoteReference w:id="601"/>
      </w:r>
      <w:r w:rsidRPr="009A6BD2">
        <w:rPr>
          <w:rFonts w:ascii="Times New Roman" w:hAnsi="Times New Roman" w:cs="Times"/>
        </w:rPr>
        <w:t xml:space="preserve">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reste donc que, pour Strehlow comme pour Spencer et Gillen, il y a dans chaque nouveau-né un principe religi</w:t>
      </w:r>
      <w:r w:rsidRPr="009A6BD2">
        <w:rPr>
          <w:rFonts w:ascii="Times New Roman" w:hAnsi="Times New Roman" w:cs="Times"/>
        </w:rPr>
        <w:t>eux, mystique, qui émane d'un ancêtre de l'Alcheringa. C'est ce principe qui fait l'essence de chaque individu ; c'en est donc l'âme ou, en tout cas, l'âme est faite de la même matière et de la même substance. Or, c'est uniquement sur ce fait fondamen</w:t>
      </w:r>
      <w:r w:rsidRPr="009A6BD2">
        <w:rPr>
          <w:rFonts w:ascii="Times New Roman" w:hAnsi="Times New Roman" w:cs="Times"/>
        </w:rPr>
        <w:softHyphen/>
        <w:t xml:space="preserve">tal </w:t>
      </w:r>
      <w:r w:rsidRPr="009A6BD2">
        <w:rPr>
          <w:rFonts w:ascii="Times New Roman" w:hAnsi="Times New Roman" w:cs="Times"/>
        </w:rPr>
        <w:t>que nous nous sommes appuyé pour déterminer la nature et l'origine de l'idée d'âme. Les métaphores différentes au moyen desquelles il a pu être exprimé n'ont pour nous qu'un intérêt tout à fait secondaire </w:t>
      </w:r>
      <w:r w:rsidRPr="009A6BD2">
        <w:rPr>
          <w:rStyle w:val="Rimandonotaapidipagina"/>
          <w:rFonts w:ascii="Times New Roman" w:hAnsi="Times New Roman" w:cs="Times"/>
        </w:rPr>
        <w:footnoteReference w:id="60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Loin de contredire les données sur lesquelles r</w:t>
      </w:r>
      <w:r w:rsidRPr="009A6BD2">
        <w:rPr>
          <w:rFonts w:ascii="Times New Roman" w:hAnsi="Times New Roman" w:cs="Times"/>
        </w:rPr>
        <w:t>epose notre thèse, les récentes observations de Strehlow nous apportent des preuves nouvelles qui la confirment. Notre raisonnement consistait à inférer la nature totémique de l'âme humaine d'après la nature totémique de l'âme ancestrale dont la première e</w:t>
      </w:r>
      <w:r w:rsidRPr="009A6BD2">
        <w:rPr>
          <w:rFonts w:ascii="Times New Roman" w:hAnsi="Times New Roman" w:cs="Times"/>
        </w:rPr>
        <w:t>st une émanation et une sorte de réplique. Or, quelques-uns des faits nouveaux que nous devons à Strehlow démontrent, plus catégoriquement encore que ceux dont nous disposions jusqu'ici, ce caractère et de l'une et de l'autre. D'abord, tout comme Spencer e</w:t>
      </w:r>
      <w:r w:rsidRPr="009A6BD2">
        <w:rPr>
          <w:rFonts w:ascii="Times New Roman" w:hAnsi="Times New Roman" w:cs="Times"/>
        </w:rPr>
        <w:t>t Gil</w:t>
      </w:r>
      <w:r w:rsidRPr="009A6BD2">
        <w:rPr>
          <w:rFonts w:ascii="Times New Roman" w:hAnsi="Times New Roman" w:cs="Times"/>
        </w:rPr>
        <w:softHyphen/>
        <w:t>len, Strehlow insiste sur « les rapports intimes qui unissent chaque ancêtre à un animal, à une plante ou à un autre objet naturel ». Quelques-uns de ces Altjirangamitjina (ce sont les gens de l'Alcheringa de Spencer et Gillen), « doivent, dit-il, s'</w:t>
      </w:r>
      <w:r w:rsidRPr="009A6BD2">
        <w:rPr>
          <w:rFonts w:ascii="Times New Roman" w:hAnsi="Times New Roman" w:cs="Times"/>
        </w:rPr>
        <w:t>être directement mani</w:t>
      </w:r>
      <w:r w:rsidRPr="009A6BD2">
        <w:rPr>
          <w:rFonts w:ascii="Times New Roman" w:hAnsi="Times New Roman" w:cs="Times"/>
        </w:rPr>
        <w:softHyphen/>
        <w:t>fes</w:t>
      </w:r>
      <w:r w:rsidRPr="009A6BD2">
        <w:rPr>
          <w:rFonts w:ascii="Times New Roman" w:hAnsi="Times New Roman" w:cs="Times"/>
        </w:rPr>
        <w:softHyphen/>
        <w:t>tés en qualité d'animaux ; d'autres prenaient la forme animale d'une manière passagère </w:t>
      </w:r>
      <w:r w:rsidRPr="009A6BD2">
        <w:rPr>
          <w:rStyle w:val="Rimandonotaapidipagina"/>
          <w:rFonts w:ascii="Times New Roman" w:hAnsi="Times New Roman" w:cs="Times"/>
        </w:rPr>
        <w:footnoteReference w:id="603"/>
      </w:r>
      <w:r w:rsidRPr="009A6BD2">
        <w:rPr>
          <w:rFonts w:ascii="Times New Roman" w:hAnsi="Times New Roman" w:cs="Times"/>
        </w:rPr>
        <w:t xml:space="preserve"> ». Mainte</w:t>
      </w:r>
      <w:r w:rsidRPr="009A6BD2">
        <w:rPr>
          <w:rFonts w:ascii="Times New Roman" w:hAnsi="Times New Roman" w:cs="Times"/>
        </w:rPr>
        <w:softHyphen/>
        <w:t>nant encore, il leur arrive sans cesse de se transformer en animaux </w:t>
      </w:r>
      <w:r w:rsidRPr="009A6BD2">
        <w:rPr>
          <w:rStyle w:val="Rimandonotaapidipagina"/>
          <w:rFonts w:ascii="Times New Roman" w:hAnsi="Times New Roman" w:cs="Times"/>
        </w:rPr>
        <w:footnoteReference w:id="604"/>
      </w:r>
      <w:r w:rsidRPr="009A6BD2">
        <w:rPr>
          <w:rFonts w:ascii="Times New Roman" w:hAnsi="Times New Roman" w:cs="Times"/>
        </w:rPr>
        <w:t>. En tout cas, et quel que soit leur aspect extérieur, « en ch</w:t>
      </w:r>
      <w:r w:rsidRPr="009A6BD2">
        <w:rPr>
          <w:rFonts w:ascii="Times New Roman" w:hAnsi="Times New Roman" w:cs="Times"/>
        </w:rPr>
        <w:t>acun d'eux, les qualités propres et distinctives de l'animal ressortent avec évidence ». Par exemple, les ancêtres du clan du Kangourou mangent de l'herbe comme des kangourous véritables et fuient devant le chasseur ; ceux du clan de l'Émou courent et se n</w:t>
      </w:r>
      <w:r w:rsidRPr="009A6BD2">
        <w:rPr>
          <w:rFonts w:ascii="Times New Roman" w:hAnsi="Times New Roman" w:cs="Times"/>
        </w:rPr>
        <w:t>ourrissent comme les émous </w:t>
      </w:r>
      <w:r w:rsidRPr="009A6BD2">
        <w:rPr>
          <w:rStyle w:val="Rimandonotaapidipagina"/>
          <w:rFonts w:ascii="Times New Roman" w:hAnsi="Times New Roman" w:cs="Times"/>
        </w:rPr>
        <w:footnoteReference w:id="605"/>
      </w:r>
      <w:r w:rsidRPr="009A6BD2">
        <w:rPr>
          <w:rFonts w:ascii="Times New Roman" w:hAnsi="Times New Roman" w:cs="Times"/>
        </w:rPr>
        <w:t>, etc. Il y a plus : ceux des ancêtres qui avaient pour totem un végétal sont devenus, à leur mort, ce végétal lui-même </w:t>
      </w:r>
      <w:r w:rsidRPr="009A6BD2">
        <w:rPr>
          <w:rStyle w:val="Rimandonotaapidipagina"/>
          <w:rFonts w:ascii="Times New Roman" w:hAnsi="Times New Roman" w:cs="Times"/>
        </w:rPr>
        <w:footnoteReference w:id="606"/>
      </w:r>
      <w:r w:rsidRPr="009A6BD2">
        <w:rPr>
          <w:rFonts w:ascii="Times New Roman" w:hAnsi="Times New Roman" w:cs="Times"/>
        </w:rPr>
        <w:t xml:space="preserve"> ! D'ailleurs, cette étroite parenté de l'ancêtre et de l'être totémique est si vivement sentie par l'indig</w:t>
      </w:r>
      <w:r w:rsidRPr="009A6BD2">
        <w:rPr>
          <w:rFonts w:ascii="Times New Roman" w:hAnsi="Times New Roman" w:cs="Times"/>
        </w:rPr>
        <w:t>ène qu'elle affecte la terminologie. Chez les Arunta, l'enfant appelle altjira le totem de sa mère, qui lui sert de totem secondaire </w:t>
      </w:r>
      <w:r w:rsidRPr="009A6BD2">
        <w:rPr>
          <w:rStyle w:val="Rimandonotaapidipagina"/>
          <w:rFonts w:ascii="Times New Roman" w:hAnsi="Times New Roman" w:cs="Times"/>
        </w:rPr>
        <w:footnoteReference w:id="607"/>
      </w:r>
      <w:r w:rsidRPr="009A6BD2">
        <w:rPr>
          <w:rFonts w:ascii="Times New Roman" w:hAnsi="Times New Roman" w:cs="Times"/>
        </w:rPr>
        <w:t>. Comme, primitivement, la filiation se faisait en ligne utérine, il y eut un temps oh chaque individu n'avait pas d'autre</w:t>
      </w:r>
      <w:r w:rsidRPr="009A6BD2">
        <w:rPr>
          <w:rFonts w:ascii="Times New Roman" w:hAnsi="Times New Roman" w:cs="Times"/>
        </w:rPr>
        <w:t xml:space="preserve"> totem que celui de sa mère ; il est donc très vraisemblable que ce terme d'altjira désignait le totem proprement dit. Or il entre évidemment dans la composition du mot qui signifie grand ancêtre, alljirangamitjina </w:t>
      </w:r>
      <w:r w:rsidRPr="009A6BD2">
        <w:rPr>
          <w:rStyle w:val="Rimandonotaapidipagina"/>
          <w:rFonts w:ascii="Times New Roman" w:hAnsi="Times New Roman" w:cs="Times"/>
        </w:rPr>
        <w:footnoteReference w:id="60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L'idée de totem et celle d'ancêtre so</w:t>
      </w:r>
      <w:r w:rsidRPr="009A6BD2">
        <w:rPr>
          <w:rFonts w:ascii="Times New Roman" w:hAnsi="Times New Roman" w:cs="Times"/>
        </w:rPr>
        <w:t>nt même si voisines l'une de l'autre que, parfois, on paraît les confondre. Ainsi, après nous avoir parlé du totem de la mère ou altjira, Strehlow ajoute : « Cet altjira apparaît aux noirs en rêve et leur adresse des avertissements, de même qu'il apporte d</w:t>
      </w:r>
      <w:r w:rsidRPr="009A6BD2">
        <w:rPr>
          <w:rFonts w:ascii="Times New Roman" w:hAnsi="Times New Roman" w:cs="Times"/>
        </w:rPr>
        <w:t>es renseignements sur eux à leurs amis endormis </w:t>
      </w:r>
      <w:r w:rsidRPr="009A6BD2">
        <w:rPr>
          <w:rStyle w:val="Rimandonotaapidipagina"/>
          <w:rFonts w:ascii="Times New Roman" w:hAnsi="Times New Roman" w:cs="Times"/>
        </w:rPr>
        <w:footnoteReference w:id="609"/>
      </w:r>
      <w:r w:rsidRPr="009A6BD2">
        <w:rPr>
          <w:rFonts w:ascii="Times New Roman" w:hAnsi="Times New Roman" w:cs="Times"/>
        </w:rPr>
        <w:t xml:space="preserve"> ». Cet altjira qui parle, qui est attaché personnellement à chaque individu est évidemment un ancêtre ; et pourtant, c'est aussi une incarnation du totem. Un texte de Roth où il est question d'invocations a</w:t>
      </w:r>
      <w:r w:rsidRPr="009A6BD2">
        <w:rPr>
          <w:rFonts w:ascii="Times New Roman" w:hAnsi="Times New Roman" w:cs="Times"/>
        </w:rPr>
        <w:t>dressées au totem doit, sans doute, être interprété dans ce sens </w:t>
      </w:r>
      <w:r w:rsidRPr="009A6BD2">
        <w:rPr>
          <w:rStyle w:val="Rimandonotaapidipagina"/>
          <w:rFonts w:ascii="Times New Roman" w:hAnsi="Times New Roman" w:cs="Times"/>
        </w:rPr>
        <w:footnoteReference w:id="610"/>
      </w:r>
      <w:r w:rsidRPr="009A6BD2">
        <w:rPr>
          <w:rFonts w:ascii="Times New Roman" w:hAnsi="Times New Roman" w:cs="Times"/>
        </w:rPr>
        <w:t>. Il semble donc bien que le totem soit parfois représenté dans les esprits sous la forme d'une collection d'êtres idéaux, de person</w:t>
      </w:r>
      <w:r w:rsidRPr="009A6BD2">
        <w:rPr>
          <w:rFonts w:ascii="Times New Roman" w:hAnsi="Times New Roman" w:cs="Times"/>
        </w:rPr>
        <w:softHyphen/>
        <w:t>nages mythiques qui sont plus ou moins indistincts des an</w:t>
      </w:r>
      <w:r w:rsidRPr="009A6BD2">
        <w:rPr>
          <w:rFonts w:ascii="Times New Roman" w:hAnsi="Times New Roman" w:cs="Times"/>
        </w:rPr>
        <w:t>cêtres. En un mot, les ancêtres, c'est le totem fragmenté </w:t>
      </w:r>
      <w:r w:rsidRPr="009A6BD2">
        <w:rPr>
          <w:rStyle w:val="Rimandonotaapidipagina"/>
          <w:rFonts w:ascii="Times New Roman" w:hAnsi="Times New Roman" w:cs="Times"/>
        </w:rPr>
        <w:footnoteReference w:id="61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si l'ancêtre se confond à ce point avec l'être totémique, il n'en peut être autrement de l'âme individuelle qui tient de si près à l'âme ancestrale. C'est, d'ailleurs, ce qui ressort égalem</w:t>
      </w:r>
      <w:r w:rsidRPr="009A6BD2">
        <w:rPr>
          <w:rFonts w:ascii="Times New Roman" w:hAnsi="Times New Roman" w:cs="Times"/>
        </w:rPr>
        <w:t>ent des liens étroits qui unissent chaque homme à son churinga. Nous savons, en effet, que le churinga exprime la personnalité de l'individu qui passe pour en être né </w:t>
      </w:r>
      <w:r w:rsidRPr="009A6BD2">
        <w:rPr>
          <w:rStyle w:val="Rimandonotaapidipagina"/>
          <w:rFonts w:ascii="Times New Roman" w:hAnsi="Times New Roman" w:cs="Times"/>
        </w:rPr>
        <w:footnoteReference w:id="612"/>
      </w:r>
      <w:r w:rsidRPr="009A6BD2">
        <w:rPr>
          <w:rFonts w:ascii="Times New Roman" w:hAnsi="Times New Roman" w:cs="Times"/>
        </w:rPr>
        <w:t xml:space="preserve"> ; mais il exprime également l'animal totémique. Quand le héros civilisateur. Mangarkunj</w:t>
      </w:r>
      <w:r w:rsidRPr="009A6BD2">
        <w:rPr>
          <w:rFonts w:ascii="Times New Roman" w:hAnsi="Times New Roman" w:cs="Times"/>
        </w:rPr>
        <w:t>erkunja, pré</w:t>
      </w:r>
      <w:r w:rsidRPr="009A6BD2">
        <w:rPr>
          <w:rFonts w:ascii="Times New Roman" w:hAnsi="Times New Roman" w:cs="Times"/>
        </w:rPr>
        <w:softHyphen/>
        <w:t>sen</w:t>
      </w:r>
      <w:r w:rsidRPr="009A6BD2">
        <w:rPr>
          <w:rFonts w:ascii="Times New Roman" w:hAnsi="Times New Roman" w:cs="Times"/>
        </w:rPr>
        <w:softHyphen/>
        <w:t>ta à chacun des membres du clan du Kangourou son churinga personnel, il s'exprima en ces termes : « Voilà le corps d'un kangourou </w:t>
      </w:r>
      <w:r w:rsidRPr="009A6BD2">
        <w:rPr>
          <w:rStyle w:val="Rimandonotaapidipagina"/>
          <w:rFonts w:ascii="Times New Roman" w:hAnsi="Times New Roman" w:cs="Times"/>
        </w:rPr>
        <w:footnoteReference w:id="613"/>
      </w:r>
      <w:r w:rsidRPr="009A6BD2">
        <w:rPr>
          <w:rFonts w:ascii="Times New Roman" w:hAnsi="Times New Roman" w:cs="Times"/>
        </w:rPr>
        <w:t xml:space="preserve"> ». Ainsi, le churinga est à la fois le corps de l'ancêtre, de l'individu actuel et de l'animal totémique ; </w:t>
      </w:r>
      <w:r w:rsidRPr="009A6BD2">
        <w:rPr>
          <w:rFonts w:ascii="Times New Roman" w:hAnsi="Times New Roman" w:cs="Times"/>
        </w:rPr>
        <w:t>ces trois êtres forment donc, suivant une forte et juste expression de Strehlow, « une unité solidaire </w:t>
      </w:r>
      <w:r w:rsidRPr="009A6BD2">
        <w:rPr>
          <w:rStyle w:val="Rimandonotaapidipagina"/>
          <w:rFonts w:ascii="Times New Roman" w:hAnsi="Times New Roman" w:cs="Times"/>
        </w:rPr>
        <w:footnoteReference w:id="614"/>
      </w:r>
      <w:r w:rsidRPr="009A6BD2">
        <w:rPr>
          <w:rFonts w:ascii="Times New Roman" w:hAnsi="Times New Roman" w:cs="Times"/>
        </w:rPr>
        <w:t xml:space="preserve"> ». Ce sont des termes en parties équivalents et substituables les uns aux autres. C'est dire qu'ils sont conçus comme des aspects différents d'une seul</w:t>
      </w:r>
      <w:r w:rsidRPr="009A6BD2">
        <w:rPr>
          <w:rFonts w:ascii="Times New Roman" w:hAnsi="Times New Roman" w:cs="Times"/>
        </w:rPr>
        <w:t>e et même réalité, qui se définit également par les attributs distinctifs du totem. C'est le principe totémique qui est leur commune essence. Le langage lui-même exprime cette identité. Le mot de ratapa et, dans la langue des Loritja, celui de aratapi, dés</w:t>
      </w:r>
      <w:r w:rsidRPr="009A6BD2">
        <w:rPr>
          <w:rFonts w:ascii="Times New Roman" w:hAnsi="Times New Roman" w:cs="Times"/>
        </w:rPr>
        <w:t>ignent l'embryon mythique qui se détache de l'ancêtre et qui devient l'enfant ; or les mêmes mots désignent aussi le totem de ce même enfant, tel qu'il est déterminé par l'endroit où la mère croit avoir conçu </w:t>
      </w:r>
      <w:r w:rsidRPr="009A6BD2">
        <w:rPr>
          <w:rStyle w:val="Rimandonotaapidipagina"/>
          <w:rFonts w:ascii="Times New Roman" w:hAnsi="Times New Roman" w:cs="Times"/>
        </w:rPr>
        <w:footnoteReference w:id="61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47" w:name="livre_2_chap_8_3"/>
      <w:r w:rsidRPr="009A6BD2">
        <w:rPr>
          <w:rFonts w:ascii="Times New Roman" w:hAnsi="Times New Roman"/>
        </w:rPr>
        <w:t>III</w:t>
      </w:r>
    </w:p>
    <w:bookmarkEnd w:id="47"/>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Dans ce qui précède, il est vrai, la doctrine de la réincarnation n'a été étudiée que dans les tribus de l'Australie centrale ; on pourrait donc juger trop étroites les bases sur lesquelles repose notre inférence. Mais d'abord, pour les raisons que nous</w:t>
      </w:r>
      <w:r w:rsidRPr="009A6BD2">
        <w:rPr>
          <w:rFonts w:ascii="Times New Roman" w:hAnsi="Times New Roman" w:cs="Times"/>
        </w:rPr>
        <w:t xml:space="preserve"> avons exposées, l'expérience a une portée qui s'étend au delà des sociétés que nous avons directement observées. De plus, les faits abondent qui établissent que les mêmes conceptions ou des conceptions analogues se rencontrent sur les points les plus dive</w:t>
      </w:r>
      <w:r w:rsidRPr="009A6BD2">
        <w:rPr>
          <w:rFonts w:ascii="Times New Roman" w:hAnsi="Times New Roman" w:cs="Times"/>
        </w:rPr>
        <w:t>rs de l'Australie ou y ont, tout au moins, laissé des traces apparentes. On les retrouve jusqu'en Amérique.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Dans l'Australie méridionale, Howitt les signale chez les Dieri </w:t>
      </w:r>
      <w:r w:rsidRPr="009A6BD2">
        <w:rPr>
          <w:rStyle w:val="Rimandonotaapidipagina"/>
          <w:rFonts w:ascii="Times New Roman" w:hAnsi="Times New Roman" w:cs="Times"/>
        </w:rPr>
        <w:footnoteReference w:id="616"/>
      </w:r>
      <w:r w:rsidRPr="009A6BD2">
        <w:rPr>
          <w:rFonts w:ascii="Times New Roman" w:hAnsi="Times New Roman" w:cs="Times"/>
        </w:rPr>
        <w:t>. Le mot de Mura-mura, que Gason traduisait par Bon-Esprit et oh il croyait voir e</w:t>
      </w:r>
      <w:r w:rsidRPr="009A6BD2">
        <w:rPr>
          <w:rFonts w:ascii="Times New Roman" w:hAnsi="Times New Roman" w:cs="Times"/>
        </w:rPr>
        <w:t>xprimée la croyance en un dieu créateur </w:t>
      </w:r>
      <w:r w:rsidRPr="009A6BD2">
        <w:rPr>
          <w:rStyle w:val="Rimandonotaapidipagina"/>
          <w:rFonts w:ascii="Times New Roman" w:hAnsi="Times New Roman" w:cs="Times"/>
        </w:rPr>
        <w:footnoteReference w:id="617"/>
      </w:r>
      <w:r w:rsidRPr="009A6BD2">
        <w:rPr>
          <w:rFonts w:ascii="Times New Roman" w:hAnsi="Times New Roman" w:cs="Times"/>
        </w:rPr>
        <w:t xml:space="preserve">, est, en réalité, un nom collectif qui désigne la multitude des ancêtres que le mythe place à l'origine de la tribu. Ils continuent à exister aujourd'hui comme autrefois. « On croit qu'ils habitent dans des arbres </w:t>
      </w:r>
      <w:r w:rsidRPr="009A6BD2">
        <w:rPr>
          <w:rFonts w:ascii="Times New Roman" w:hAnsi="Times New Roman" w:cs="Times"/>
        </w:rPr>
        <w:t>qui, pour cette raison, sont sacrés ». Certaines dispositions du sol, des rochers, des sources sont identifiées avec ces Muramura </w:t>
      </w:r>
      <w:r w:rsidRPr="009A6BD2">
        <w:rPr>
          <w:rStyle w:val="Rimandonotaapidipagina"/>
          <w:rFonts w:ascii="Times New Roman" w:hAnsi="Times New Roman" w:cs="Times"/>
        </w:rPr>
        <w:footnoteReference w:id="618"/>
      </w:r>
      <w:r w:rsidRPr="009A6BD2">
        <w:rPr>
          <w:rFonts w:ascii="Times New Roman" w:hAnsi="Times New Roman" w:cs="Times"/>
        </w:rPr>
        <w:t xml:space="preserve"> qui, par conséquent, ressemblent singulièrement aux Altjirangamitjina des Arunta. Les Kurnai du Gippsland, bien qu'il n'exis</w:t>
      </w:r>
      <w:r w:rsidRPr="009A6BD2">
        <w:rPr>
          <w:rFonts w:ascii="Times New Roman" w:hAnsi="Times New Roman" w:cs="Times"/>
        </w:rPr>
        <w:t xml:space="preserve">te plus chez eux que des vestiges de totémisme, croient également en l'existence d'ancêtres appelés </w:t>
      </w:r>
      <w:r w:rsidRPr="009A6BD2">
        <w:rPr>
          <w:rFonts w:ascii="Times New Roman" w:hAnsi="Times New Roman" w:cs="Times"/>
          <w:i/>
          <w:iCs/>
        </w:rPr>
        <w:t xml:space="preserve">Muk-Kurnai, </w:t>
      </w:r>
      <w:r w:rsidRPr="009A6BD2">
        <w:rPr>
          <w:rFonts w:ascii="Times New Roman" w:hAnsi="Times New Roman" w:cs="Times"/>
        </w:rPr>
        <w:t>et qu'ils conçoivent comme des êtres intermédiaires entre l'homme et l'animal </w:t>
      </w:r>
      <w:r w:rsidRPr="009A6BD2">
        <w:rPr>
          <w:rStyle w:val="Rimandonotaapidipagina"/>
          <w:rFonts w:ascii="Times New Roman" w:hAnsi="Times New Roman" w:cs="Times"/>
        </w:rPr>
        <w:footnoteReference w:id="619"/>
      </w:r>
      <w:r w:rsidRPr="009A6BD2">
        <w:rPr>
          <w:rFonts w:ascii="Times New Roman" w:hAnsi="Times New Roman" w:cs="Times"/>
          <w:i/>
          <w:iCs/>
        </w:rPr>
        <w:t xml:space="preserve">. </w:t>
      </w:r>
      <w:r w:rsidRPr="009A6BD2">
        <w:rPr>
          <w:rFonts w:ascii="Times New Roman" w:hAnsi="Times New Roman" w:cs="Times"/>
        </w:rPr>
        <w:t>Chez les Nimbaldi, Taplin a observé une théorie de la conceptio</w:t>
      </w:r>
      <w:r w:rsidRPr="009A6BD2">
        <w:rPr>
          <w:rFonts w:ascii="Times New Roman" w:hAnsi="Times New Roman" w:cs="Times"/>
        </w:rPr>
        <w:t>n qui rappelle celle que Strehlow prête aux Arunta </w:t>
      </w:r>
      <w:r w:rsidRPr="009A6BD2">
        <w:rPr>
          <w:rStyle w:val="Rimandonotaapidipagina"/>
          <w:rFonts w:ascii="Times New Roman" w:hAnsi="Times New Roman" w:cs="Times"/>
        </w:rPr>
        <w:footnoteReference w:id="620"/>
      </w:r>
      <w:r w:rsidRPr="009A6BD2">
        <w:rPr>
          <w:rFonts w:ascii="Times New Roman" w:hAnsi="Times New Roman" w:cs="Times"/>
        </w:rPr>
        <w:t xml:space="preserve">. Dans l'État de Victoria, chez les Wotjobaluk, nous trouvons intégralement la croyance en la réincarnation. « Les esprits des morts, dit Mathews, s'assemblent dans les </w:t>
      </w:r>
      <w:r w:rsidRPr="009A6BD2">
        <w:rPr>
          <w:rFonts w:ascii="Times New Roman" w:hAnsi="Times New Roman" w:cs="Times"/>
          <w:i/>
          <w:iCs/>
        </w:rPr>
        <w:t>miyur</w:t>
      </w:r>
      <w:r w:rsidRPr="009A6BD2">
        <w:rPr>
          <w:rFonts w:ascii="Times New Roman" w:hAnsi="Times New Roman" w:cs="Times"/>
        </w:rPr>
        <w:t> </w:t>
      </w:r>
      <w:r w:rsidRPr="009A6BD2">
        <w:rPr>
          <w:rStyle w:val="Rimandonotaapidipagina"/>
          <w:rFonts w:ascii="Times New Roman" w:hAnsi="Times New Roman" w:cs="Times"/>
        </w:rPr>
        <w:footnoteReference w:id="621"/>
      </w:r>
      <w:r w:rsidRPr="009A6BD2">
        <w:rPr>
          <w:rFonts w:ascii="Times New Roman" w:hAnsi="Times New Roman" w:cs="Times"/>
        </w:rPr>
        <w:t xml:space="preserve"> de leur clans respectifs ; </w:t>
      </w:r>
      <w:r w:rsidRPr="009A6BD2">
        <w:rPr>
          <w:rFonts w:ascii="Times New Roman" w:hAnsi="Times New Roman" w:cs="Times"/>
        </w:rPr>
        <w:t>ils en sortent pour naître à nouveau sous forme humaine quand une occasion favorable se présente </w:t>
      </w:r>
      <w:r w:rsidRPr="009A6BD2">
        <w:rPr>
          <w:rStyle w:val="Rimandonotaapidipagina"/>
          <w:rFonts w:ascii="Times New Roman" w:hAnsi="Times New Roman" w:cs="Times"/>
        </w:rPr>
        <w:footnoteReference w:id="622"/>
      </w:r>
      <w:r w:rsidRPr="009A6BD2">
        <w:rPr>
          <w:rFonts w:ascii="Times New Roman" w:hAnsi="Times New Roman" w:cs="Times"/>
        </w:rPr>
        <w:t xml:space="preserve"> ». MATHEWS affirme même que «la croyance à la réincarnation ou à la transmi</w:t>
      </w:r>
      <w:r w:rsidRPr="009A6BD2">
        <w:rPr>
          <w:rFonts w:ascii="Times New Roman" w:hAnsi="Times New Roman" w:cs="Times"/>
        </w:rPr>
        <w:softHyphen/>
        <w:t>gra</w:t>
      </w:r>
      <w:r w:rsidRPr="009A6BD2">
        <w:rPr>
          <w:rFonts w:ascii="Times New Roman" w:hAnsi="Times New Roman" w:cs="Times"/>
        </w:rPr>
        <w:softHyphen/>
        <w:t>tion des âmes est fortement enracinée dans toutes les tribus australiennes </w:t>
      </w:r>
      <w:r w:rsidRPr="009A6BD2">
        <w:rPr>
          <w:rStyle w:val="Rimandonotaapidipagina"/>
          <w:rFonts w:ascii="Times New Roman" w:hAnsi="Times New Roman" w:cs="Times"/>
        </w:rPr>
        <w:footnoteReference w:id="623"/>
      </w:r>
      <w:r w:rsidRPr="009A6BD2">
        <w:rPr>
          <w:rFonts w:ascii="Times New Roman" w:hAnsi="Times New Roman" w:cs="Times"/>
        </w:rPr>
        <w:t xml:space="preserve"> </w:t>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Si nous passons dans les régions septentrionales, nous trouvons au nord-ouest, chez les Niol-Niol, la pure doctrine des Arunta : toute naissance est attribuée à l'incarnation d'une âme préexistante qui s'introduit dans un corps de femme </w:t>
      </w:r>
      <w:r w:rsidRPr="009A6BD2">
        <w:rPr>
          <w:rStyle w:val="Rimandonotaapidipagina"/>
          <w:rFonts w:ascii="Times New Roman" w:hAnsi="Times New Roman" w:cs="Times"/>
        </w:rPr>
        <w:footnoteReference w:id="624"/>
      </w:r>
      <w:r w:rsidRPr="009A6BD2">
        <w:rPr>
          <w:rFonts w:ascii="Times New Roman" w:hAnsi="Times New Roman" w:cs="Times"/>
        </w:rPr>
        <w:t>. Dans le Quee</w:t>
      </w:r>
      <w:r w:rsidRPr="009A6BD2">
        <w:rPr>
          <w:rFonts w:ascii="Times New Roman" w:hAnsi="Times New Roman" w:cs="Times"/>
        </w:rPr>
        <w:t xml:space="preserve">nsland du Nord, des mythes, qui ne diffèrent des précédents que dans la forme, traduisent exactement les mêmes idées. Dans les tribus de la rivière Pennefather, on croit que tout homme a deux âmes: l'une, appelée </w:t>
      </w:r>
      <w:r w:rsidRPr="009A6BD2">
        <w:rPr>
          <w:rFonts w:ascii="Times New Roman" w:hAnsi="Times New Roman" w:cs="Times"/>
          <w:i/>
          <w:iCs/>
        </w:rPr>
        <w:t xml:space="preserve">ngai, </w:t>
      </w:r>
      <w:r w:rsidRPr="009A6BD2">
        <w:rPr>
          <w:rFonts w:ascii="Times New Roman" w:hAnsi="Times New Roman" w:cs="Times"/>
        </w:rPr>
        <w:t xml:space="preserve">réside dans le cœur, l'autre, </w:t>
      </w:r>
      <w:r w:rsidRPr="009A6BD2">
        <w:rPr>
          <w:rFonts w:ascii="Times New Roman" w:hAnsi="Times New Roman" w:cs="Times"/>
          <w:i/>
          <w:iCs/>
        </w:rPr>
        <w:t xml:space="preserve">choi, </w:t>
      </w:r>
      <w:r w:rsidRPr="009A6BD2">
        <w:rPr>
          <w:rFonts w:ascii="Times New Roman" w:hAnsi="Times New Roman" w:cs="Times"/>
        </w:rPr>
        <w:t>r</w:t>
      </w:r>
      <w:r w:rsidRPr="009A6BD2">
        <w:rPr>
          <w:rFonts w:ascii="Times New Roman" w:hAnsi="Times New Roman" w:cs="Times"/>
        </w:rPr>
        <w:t xml:space="preserve">este dans le placenta. Aussitôt après la naissance, le placenta est enterré en un lieu consacré. Un génie particulier, nommé Anje-a, qui est préposé au phénomène de la procréation, va recueillir ce </w:t>
      </w:r>
      <w:r w:rsidRPr="009A6BD2">
        <w:rPr>
          <w:rFonts w:ascii="Times New Roman" w:hAnsi="Times New Roman" w:cs="Times"/>
          <w:i/>
          <w:iCs/>
        </w:rPr>
        <w:t xml:space="preserve">choi </w:t>
      </w:r>
      <w:r w:rsidRPr="009A6BD2">
        <w:rPr>
          <w:rFonts w:ascii="Times New Roman" w:hAnsi="Times New Roman" w:cs="Times"/>
        </w:rPr>
        <w:t>et le conserve jusqu'à ce que l'enfant, devenu adulte</w:t>
      </w:r>
      <w:r w:rsidRPr="009A6BD2">
        <w:rPr>
          <w:rFonts w:ascii="Times New Roman" w:hAnsi="Times New Roman" w:cs="Times"/>
        </w:rPr>
        <w:t>, se soit marié. Quand le moment est venu de lui donner un fils, Anje-a prélève une parcelle du choi de cet homme, l'insère dans l'embryon qu'il fabrique et qu'il introduit dans le sein de la mère. C'est donc avec l'âme du père qu'est faite celle de l'enfa</w:t>
      </w:r>
      <w:r w:rsidRPr="009A6BD2">
        <w:rPr>
          <w:rFonts w:ascii="Times New Roman" w:hAnsi="Times New Roman" w:cs="Times"/>
        </w:rPr>
        <w:t xml:space="preserve">nt. Il est vrai que celui-ci ne reçoit pas tout d'abord l'intégralité de l'âme paternelle, car le </w:t>
      </w:r>
      <w:r w:rsidRPr="009A6BD2">
        <w:rPr>
          <w:rFonts w:ascii="Times New Roman" w:hAnsi="Times New Roman" w:cs="Times"/>
          <w:i/>
          <w:iCs/>
        </w:rPr>
        <w:t xml:space="preserve">ngai </w:t>
      </w:r>
      <w:r w:rsidRPr="009A6BD2">
        <w:rPr>
          <w:rFonts w:ascii="Times New Roman" w:hAnsi="Times New Roman" w:cs="Times"/>
        </w:rPr>
        <w:t xml:space="preserve">continue à rester dans le cœur du père tant que ce dernier est en vie. Mais quand il meurt, le </w:t>
      </w:r>
      <w:r w:rsidRPr="009A6BD2">
        <w:rPr>
          <w:rFonts w:ascii="Times New Roman" w:hAnsi="Times New Roman" w:cs="Times"/>
          <w:i/>
          <w:iCs/>
        </w:rPr>
        <w:t xml:space="preserve">ngai, </w:t>
      </w:r>
      <w:r w:rsidRPr="009A6BD2">
        <w:rPr>
          <w:rFonts w:ascii="Times New Roman" w:hAnsi="Times New Roman" w:cs="Times"/>
        </w:rPr>
        <w:t xml:space="preserve">libéré, va, lui aussi, s'incarner dans le corps des </w:t>
      </w:r>
      <w:r w:rsidRPr="009A6BD2">
        <w:rPr>
          <w:rFonts w:ascii="Times New Roman" w:hAnsi="Times New Roman" w:cs="Times"/>
        </w:rPr>
        <w:t>enfants; il se répartit également entre eux s'il y en a plusieurs. Il y a ainsi une parfaite continuité spirituelle entre les générations ; c'est la même âme qui se transmet du père aux enfants et de ceux-ci à leurs enfants, et cette âme unique, toujours i</w:t>
      </w:r>
      <w:r w:rsidRPr="009A6BD2">
        <w:rPr>
          <w:rFonts w:ascii="Times New Roman" w:hAnsi="Times New Roman" w:cs="Times"/>
        </w:rPr>
        <w:t>dentique à elle-même malgré ses divisions et ses subdivisions successives, c'est celle qui animait à l'origine des choses le premier ancêtre </w:t>
      </w:r>
      <w:r w:rsidRPr="009A6BD2">
        <w:rPr>
          <w:rStyle w:val="Rimandonotaapidipagina"/>
          <w:rFonts w:ascii="Times New Roman" w:hAnsi="Times New Roman" w:cs="Times"/>
        </w:rPr>
        <w:footnoteReference w:id="625"/>
      </w:r>
      <w:r w:rsidRPr="009A6BD2">
        <w:rPr>
          <w:rFonts w:ascii="Times New Roman" w:hAnsi="Times New Roman" w:cs="Times"/>
        </w:rPr>
        <w:t xml:space="preserve">. Entre cette théorie et celle des tribus du centre il n'y a qu'une seule différence de quelque importance; c'est </w:t>
      </w:r>
      <w:r w:rsidRPr="009A6BD2">
        <w:rPr>
          <w:rFonts w:ascii="Times New Roman" w:hAnsi="Times New Roman" w:cs="Times"/>
        </w:rPr>
        <w:t>qu'ici la réincarnation est l’œuvre non des ancêtres eux-mêmes, mais d'un génie spécial, professionnellement préposé à cette fonction. Mais il semble bien que ce génie soit le produit d'un syncrétisme qui a fait fusionner en une seule et même figure les fi</w:t>
      </w:r>
      <w:r w:rsidRPr="009A6BD2">
        <w:rPr>
          <w:rFonts w:ascii="Times New Roman" w:hAnsi="Times New Roman" w:cs="Times"/>
        </w:rPr>
        <w:t>gures multiples des premiers ancêtres. Ce qui rend cette hypothèse au moins vraisemblable, c'est que le mot Anje-a et celui d'Anjir sont évidemment très proches parents; or le second désigne le premier homme, l'ancêtre initial de qui tous les hommes seraie</w:t>
      </w:r>
      <w:r w:rsidRPr="009A6BD2">
        <w:rPr>
          <w:rFonts w:ascii="Times New Roman" w:hAnsi="Times New Roman" w:cs="Times"/>
        </w:rPr>
        <w:t>nt issus </w:t>
      </w:r>
      <w:r w:rsidRPr="009A6BD2">
        <w:rPr>
          <w:rStyle w:val="Rimandonotaapidipagina"/>
          <w:rFonts w:ascii="Times New Roman" w:hAnsi="Times New Roman" w:cs="Times"/>
        </w:rPr>
        <w:footnoteReference w:id="626"/>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Les mêmes idées se retrouvent dans les tribus indiennes de l'Amérique. Chez les Tlinkit, dit Krause, les âmes des trépassés passent pour revenir sur terre et pour s'introduire dans le corps des femmes enceintes de leur famille. « Quand donc un</w:t>
      </w:r>
      <w:r w:rsidRPr="009A6BD2">
        <w:rPr>
          <w:rFonts w:ascii="Times New Roman" w:hAnsi="Times New Roman" w:cs="Times"/>
        </w:rPr>
        <w:t>e femme, pendant sa grossesse, rêve de quelque parent décédé, elle croit que l'âme de ce dernier a pénétré en elle. Si le nouveau-né présente quelque signe caractéristique qu'avait déjà le défunt, on considère qu'il est le défunt lui-même, revenu sur terre</w:t>
      </w:r>
      <w:r w:rsidRPr="009A6BD2">
        <w:rPr>
          <w:rFonts w:ascii="Times New Roman" w:hAnsi="Times New Roman" w:cs="Times"/>
        </w:rPr>
        <w:t>, et on lui donne le nom de ce dernier </w:t>
      </w:r>
      <w:r w:rsidRPr="009A6BD2">
        <w:rPr>
          <w:rStyle w:val="Rimandonotaapidipagina"/>
          <w:rFonts w:ascii="Times New Roman" w:hAnsi="Times New Roman" w:cs="Times"/>
        </w:rPr>
        <w:footnoteReference w:id="627"/>
      </w:r>
      <w:r w:rsidRPr="009A6BD2">
        <w:rPr>
          <w:rFonts w:ascii="Times New Roman" w:hAnsi="Times New Roman" w:cs="Times"/>
        </w:rPr>
        <w:t>. » Cette croyance est également générale chez les Haida. C'est la shamane qui révèle quel est le parent qui s'est réincarné dans l'enfant et, par conséquent, quel nom ce dernier doit porter </w:t>
      </w:r>
      <w:r w:rsidRPr="009A6BD2">
        <w:rPr>
          <w:rStyle w:val="Rimandonotaapidipagina"/>
          <w:rFonts w:ascii="Times New Roman" w:hAnsi="Times New Roman" w:cs="Times"/>
        </w:rPr>
        <w:footnoteReference w:id="628"/>
      </w:r>
      <w:r w:rsidRPr="009A6BD2">
        <w:rPr>
          <w:rFonts w:ascii="Times New Roman" w:hAnsi="Times New Roman" w:cs="Times"/>
        </w:rPr>
        <w:t xml:space="preserve">. Chez les Kwakiutl, on </w:t>
      </w:r>
      <w:r w:rsidRPr="009A6BD2">
        <w:rPr>
          <w:rFonts w:ascii="Times New Roman" w:hAnsi="Times New Roman" w:cs="Times"/>
        </w:rPr>
        <w:t>croit que le dernier mort revient à la vie dans la personne du premier enfant qui naît dans la famille </w:t>
      </w:r>
      <w:r w:rsidRPr="009A6BD2">
        <w:rPr>
          <w:rStyle w:val="Rimandonotaapidipagina"/>
          <w:rFonts w:ascii="Times New Roman" w:hAnsi="Times New Roman" w:cs="Times"/>
        </w:rPr>
        <w:footnoteReference w:id="629"/>
      </w:r>
      <w:r w:rsidRPr="009A6BD2">
        <w:rPr>
          <w:rFonts w:ascii="Times New Roman" w:hAnsi="Times New Roman" w:cs="Times"/>
        </w:rPr>
        <w:t>. Il en est de même chez les Hurons, les Iroquois, les Tinneh et dans beaucoup d'autres tribus des États-Unis </w:t>
      </w:r>
      <w:r w:rsidRPr="009A6BD2">
        <w:rPr>
          <w:rStyle w:val="Rimandonotaapidipagina"/>
          <w:rFonts w:ascii="Times New Roman" w:hAnsi="Times New Roman" w:cs="Times"/>
        </w:rPr>
        <w:footnoteReference w:id="630"/>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La généralité de ces conceptions s'é</w:t>
      </w:r>
      <w:r w:rsidRPr="009A6BD2">
        <w:rPr>
          <w:rFonts w:ascii="Times New Roman" w:hAnsi="Times New Roman" w:cs="Times"/>
        </w:rPr>
        <w:t>tend naturellement à la conclusion que nous en avons déduite, c'est-à-dire à l'explication que nous avons proposée de l'idée de l'âme. La portée générale en est, d'ailleurs, confirmée par les faits suivants.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savons </w:t>
      </w:r>
      <w:r w:rsidRPr="009A6BD2">
        <w:rPr>
          <w:rStyle w:val="Rimandonotaapidipagina"/>
          <w:rFonts w:ascii="Times New Roman" w:hAnsi="Times New Roman" w:cs="Times"/>
        </w:rPr>
        <w:footnoteReference w:id="631"/>
      </w:r>
      <w:r w:rsidRPr="009A6BD2">
        <w:rPr>
          <w:rFonts w:ascii="Times New Roman" w:hAnsi="Times New Roman" w:cs="Times"/>
        </w:rPr>
        <w:t xml:space="preserve"> que chaque individu recèle en lui</w:t>
      </w:r>
      <w:r w:rsidRPr="009A6BD2">
        <w:rPr>
          <w:rFonts w:ascii="Times New Roman" w:hAnsi="Times New Roman" w:cs="Times"/>
        </w:rPr>
        <w:t xml:space="preserve"> quelque chose de la force anonyme qui est diffuse dans l'espèce sacrée ; il est, lui-même, membre de cette espèce. Mais ce n'est pas en tant qu'être empirique et sensible ; car, en dépit des dessins et des signes symboliques dont il décore son corps, il n</w:t>
      </w:r>
      <w:r w:rsidRPr="009A6BD2">
        <w:rPr>
          <w:rFonts w:ascii="Times New Roman" w:hAnsi="Times New Roman" w:cs="Times"/>
        </w:rPr>
        <w:t>'a, sous ce rapport, rien qui rappelle la forme d'un animal ou d'une plante. C'est donc qu'il existe en lui un autre être en qui il ne laisse pas de se reconnaître, mais qu'il se représente sous les espèces d'un animal ou d'un végétal. N'est-il pas évident</w:t>
      </w:r>
      <w:r w:rsidRPr="009A6BD2">
        <w:rPr>
          <w:rFonts w:ascii="Times New Roman" w:hAnsi="Times New Roman" w:cs="Times"/>
        </w:rPr>
        <w:t xml:space="preserve"> que ce double ne peut être que l'âme, puisque l'âme est déjà, par elle-même, un double du sujet qu'elle anime ? Ce qui achève de justifier cette identification, c'est que les organes oh s'incarne plus éminemment le fragment de principe totémique que conti</w:t>
      </w:r>
      <w:r w:rsidRPr="009A6BD2">
        <w:rPr>
          <w:rFonts w:ascii="Times New Roman" w:hAnsi="Times New Roman" w:cs="Times"/>
        </w:rPr>
        <w:t>ent chaque individu sont aussi ceux oh l'âme réside. C'est le cas du sang. Il y a dans le sang quelque chose de la nature du totem, comme le prouve le rôle qu'il joue dans les céré</w:t>
      </w:r>
      <w:r w:rsidRPr="009A6BD2">
        <w:rPr>
          <w:rFonts w:ascii="Times New Roman" w:hAnsi="Times New Roman" w:cs="Times"/>
        </w:rPr>
        <w:softHyphen/>
        <w:t>mo</w:t>
      </w:r>
      <w:r w:rsidRPr="009A6BD2">
        <w:rPr>
          <w:rFonts w:ascii="Times New Roman" w:hAnsi="Times New Roman" w:cs="Times"/>
        </w:rPr>
        <w:softHyphen/>
        <w:t>nies totémiques </w:t>
      </w:r>
      <w:r w:rsidRPr="009A6BD2">
        <w:rPr>
          <w:rStyle w:val="Rimandonotaapidipagina"/>
          <w:rFonts w:ascii="Times New Roman" w:hAnsi="Times New Roman" w:cs="Times"/>
        </w:rPr>
        <w:footnoteReference w:id="632"/>
      </w:r>
      <w:r w:rsidRPr="009A6BD2">
        <w:rPr>
          <w:rFonts w:ascii="Times New Roman" w:hAnsi="Times New Roman" w:cs="Times"/>
        </w:rPr>
        <w:t>. Mais en même temps, le sang est un des sièges de l'âm</w:t>
      </w:r>
      <w:r w:rsidRPr="009A6BD2">
        <w:rPr>
          <w:rFonts w:ascii="Times New Roman" w:hAnsi="Times New Roman" w:cs="Times"/>
        </w:rPr>
        <w:t>e ; ou plutôt c'est l'âme même vue du dehors. Quand le sang fuit, la vie s'écoule et, du même coup, l'âme s'échappe. L'âme se confond avec le principe sacré qui est immanent au sang.</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D'un autre côté, si notre explication est fondée, le principe totémique,</w:t>
      </w:r>
      <w:r w:rsidRPr="009A6BD2">
        <w:rPr>
          <w:rFonts w:ascii="Times New Roman" w:hAnsi="Times New Roman" w:cs="Times"/>
        </w:rPr>
        <w:t xml:space="preserve"> en pénétrant, comme nous le supposons, dans l'individu, doit y garder une certaine autonomie puisqu'il est spécifiquement distinct du sui et en qui il s'incarne. Or c'est précisément ce que Howitt dit avoir observé chez les Yuin : « Que, dans ces tribus, </w:t>
      </w:r>
      <w:r w:rsidRPr="009A6BD2">
        <w:rPr>
          <w:rFonts w:ascii="Times New Roman" w:hAnsi="Times New Roman" w:cs="Times"/>
        </w:rPr>
        <w:t xml:space="preserve">dit-il, le totem soit conçu comme constituant, en quelque manière, une partie de l'homme, c'est ce que prouve clairement le cas du nommé Umbara, dont j'ai déjà parlé. Celui-ci me raconta que, il y a de cela quelques années, un individu du clan des lézards </w:t>
      </w:r>
      <w:r w:rsidRPr="009A6BD2">
        <w:rPr>
          <w:rFonts w:ascii="Times New Roman" w:hAnsi="Times New Roman" w:cs="Times"/>
        </w:rPr>
        <w:t xml:space="preserve">dentelés </w:t>
      </w:r>
      <w:r w:rsidRPr="009A6BD2">
        <w:rPr>
          <w:rFonts w:ascii="Times New Roman" w:hAnsi="Times New Roman" w:cs="Times"/>
          <w:i/>
          <w:iCs/>
        </w:rPr>
        <w:t xml:space="preserve">(lace-lizards) lui </w:t>
      </w:r>
      <w:r w:rsidRPr="009A6BD2">
        <w:rPr>
          <w:rFonts w:ascii="Times New Roman" w:hAnsi="Times New Roman" w:cs="Times"/>
        </w:rPr>
        <w:t>envoya son totem tandis qu'il dormait. Le totem pénétra dans la gorge du dormeur dont il mangea presque le totem, lequel résidait dans la poitrine ; ce qui faillit déterminer la mort </w:t>
      </w:r>
      <w:r w:rsidRPr="009A6BD2">
        <w:rPr>
          <w:rStyle w:val="Rimandonotaapidipagina"/>
          <w:rFonts w:ascii="Times New Roman" w:hAnsi="Times New Roman" w:cs="Times"/>
        </w:rPr>
        <w:footnoteReference w:id="633"/>
      </w:r>
      <w:r w:rsidRPr="009A6BD2">
        <w:rPr>
          <w:rFonts w:ascii="Times New Roman" w:hAnsi="Times New Roman" w:cs="Times"/>
        </w:rPr>
        <w:t>. » Il est donc bien vrai que le totem se fr</w:t>
      </w:r>
      <w:r w:rsidRPr="009A6BD2">
        <w:rPr>
          <w:rFonts w:ascii="Times New Roman" w:hAnsi="Times New Roman" w:cs="Times"/>
        </w:rPr>
        <w:t>agmente en s'individualisant et que chacune des parcelles qui se détachent ainsi joue le rôle d'un esprit, d'une âme qui réside dans le corps </w:t>
      </w:r>
      <w:r w:rsidRPr="009A6BD2">
        <w:rPr>
          <w:rStyle w:val="Rimandonotaapidipagina"/>
          <w:rFonts w:ascii="Times New Roman" w:hAnsi="Times New Roman" w:cs="Times"/>
        </w:rPr>
        <w:footnoteReference w:id="634"/>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Mais voici des faits plus directement démonstratifs. Si l'âme n'est que le principe totémi</w:t>
      </w:r>
      <w:r w:rsidRPr="009A6BD2">
        <w:rPr>
          <w:rFonts w:ascii="Times New Roman" w:hAnsi="Times New Roman" w:cs="Times"/>
        </w:rPr>
        <w:softHyphen/>
        <w:t xml:space="preserve">que individualisé, </w:t>
      </w:r>
      <w:r w:rsidRPr="009A6BD2">
        <w:rPr>
          <w:rFonts w:ascii="Times New Roman" w:hAnsi="Times New Roman" w:cs="Times"/>
        </w:rPr>
        <w:t xml:space="preserve">elle doit au moins dans certains cas, soutenir des rapports plus ou moins étroits avec l'espèce animale ou végétale dont le totem reproduit la forme. Et en effet, « Les GeaweGal (tribu de la Nouvelle-Galles du Sud) croient que chacun a en soi une affinité </w:t>
      </w:r>
      <w:r w:rsidRPr="009A6BD2">
        <w:rPr>
          <w:rFonts w:ascii="Times New Roman" w:hAnsi="Times New Roman" w:cs="Times"/>
        </w:rPr>
        <w:t>pour l'esprit de quelque oiseau, bête ou reptile. Non pas que l'individu soit censé être descendu de cet animal; mais on estime qu'il y a une parenté entre l'esprit qui anime l'homme et l'esprit de l'animal </w:t>
      </w:r>
      <w:r w:rsidRPr="009A6BD2">
        <w:rPr>
          <w:rStyle w:val="Rimandonotaapidipagina"/>
          <w:rFonts w:ascii="Times New Roman" w:hAnsi="Times New Roman" w:cs="Times"/>
        </w:rPr>
        <w:footnoteReference w:id="635"/>
      </w:r>
      <w:r w:rsidRPr="009A6BD2">
        <w:rPr>
          <w:rFonts w:ascii="Times New Roman" w:hAnsi="Times New Roman" w:cs="Times"/>
        </w:rPr>
        <w:t xml:space="preserve">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même des cas où l'âme passe pour éma</w:t>
      </w:r>
      <w:r w:rsidRPr="009A6BD2">
        <w:rPr>
          <w:rFonts w:ascii="Times New Roman" w:hAnsi="Times New Roman" w:cs="Times"/>
        </w:rPr>
        <w:t>ner immédiatement du végétal ou de l'animal qui sert de totem. Chez les Arunta, d'après Strehlow, quand une femme a abondamment mangé d'un fruit, on croit qu'elle donnera le jour à un enfant qui aura ce fruit pour totem. Si, au moment où elle a senti les p</w:t>
      </w:r>
      <w:r w:rsidRPr="009A6BD2">
        <w:rPr>
          <w:rFonts w:ascii="Times New Roman" w:hAnsi="Times New Roman" w:cs="Times"/>
        </w:rPr>
        <w:t>remiers tressaillements de l'enfant, elle regardait un kangou</w:t>
      </w:r>
      <w:r w:rsidRPr="009A6BD2">
        <w:rPr>
          <w:rFonts w:ascii="Times New Roman" w:hAnsi="Times New Roman" w:cs="Times"/>
        </w:rPr>
        <w:softHyphen/>
        <w:t>rou, on croit qu'un ratapa de kangourou a pénétré son corps et l'a fécondée </w:t>
      </w:r>
      <w:r w:rsidRPr="009A6BD2">
        <w:rPr>
          <w:rStyle w:val="Rimandonotaapidipagina"/>
          <w:rFonts w:ascii="Times New Roman" w:hAnsi="Times New Roman" w:cs="Times"/>
        </w:rPr>
        <w:footnoteReference w:id="636"/>
      </w:r>
      <w:r w:rsidRPr="009A6BD2">
        <w:rPr>
          <w:rFonts w:ascii="Times New Roman" w:hAnsi="Times New Roman" w:cs="Times"/>
        </w:rPr>
        <w:t>. H. Basedow a rapporté le même fait des Wogait </w:t>
      </w:r>
      <w:r w:rsidRPr="009A6BD2">
        <w:rPr>
          <w:rStyle w:val="Rimandonotaapidipagina"/>
          <w:rFonts w:ascii="Times New Roman" w:hAnsi="Times New Roman" w:cs="Times"/>
        </w:rPr>
        <w:footnoteReference w:id="637"/>
      </w:r>
      <w:r w:rsidRPr="009A6BD2">
        <w:rPr>
          <w:rFonts w:ascii="Times New Roman" w:hAnsi="Times New Roman" w:cs="Times"/>
        </w:rPr>
        <w:t>. Nous savons, d'autre part, que le ratapa et l'âme sont choses à pe</w:t>
      </w:r>
      <w:r w:rsidRPr="009A6BD2">
        <w:rPr>
          <w:rFonts w:ascii="Times New Roman" w:hAnsi="Times New Roman" w:cs="Times"/>
        </w:rPr>
        <w:t>u près indistinctes. Or, on n'aurait pas pu attribuer à l'âme une telle origine, si l'on ne pensait pas qu'elle est faite de la même substance que les animaux ou les végétaux de l'espèce totémique.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Aussi l'âme est-elle souvent représentée sous forme anima</w:t>
      </w:r>
      <w:r w:rsidRPr="009A6BD2">
        <w:rPr>
          <w:rFonts w:ascii="Times New Roman" w:hAnsi="Times New Roman" w:cs="Times"/>
        </w:rPr>
        <w:t>le. On sait que, dans les socié</w:t>
      </w:r>
      <w:r w:rsidRPr="009A6BD2">
        <w:rPr>
          <w:rFonts w:ascii="Times New Roman" w:hAnsi="Times New Roman" w:cs="Times"/>
        </w:rPr>
        <w:softHyphen/>
        <w:t>tés inférieures, la mort n'est jamais considérée comme un événement naturel, dû à l'action de causes purement physiques ; on l'attribue généralement aux maléfices de quelque sorcier. Dans un grand nombre de tribus australien</w:t>
      </w:r>
      <w:r w:rsidRPr="009A6BD2">
        <w:rPr>
          <w:rFonts w:ascii="Times New Roman" w:hAnsi="Times New Roman" w:cs="Times"/>
        </w:rPr>
        <w:t>nes, pour déterminer quel est l'auteur responsable de ce meurtre, on part de ce principe que, cédant à une sorte de nécessité, l'âme du meurtrier vient inévitablement visiter sa victime. C'est pourquoi on dispose le corps sur un échafau</w:t>
      </w:r>
      <w:r w:rsidRPr="009A6BD2">
        <w:rPr>
          <w:rFonts w:ascii="Times New Roman" w:hAnsi="Times New Roman" w:cs="Times"/>
        </w:rPr>
        <w:softHyphen/>
        <w:t>dage; puis, sous le</w:t>
      </w:r>
      <w:r w:rsidRPr="009A6BD2">
        <w:rPr>
          <w:rFonts w:ascii="Times New Roman" w:hAnsi="Times New Roman" w:cs="Times"/>
        </w:rPr>
        <w:t xml:space="preserve"> cadavre et tout autour, on aplanit soigneusement la terre de manière à ce que la moindre marque y devienne aisément perceptible. On revient le lende</w:t>
      </w:r>
      <w:r w:rsidRPr="009A6BD2">
        <w:rPr>
          <w:rFonts w:ascii="Times New Roman" w:hAnsi="Times New Roman" w:cs="Times"/>
        </w:rPr>
        <w:softHyphen/>
        <w:t>main ; si, dans l'intervalle, un animal a passé par là, on en peut facilement reconnaître les traces. Leur</w:t>
      </w:r>
      <w:r w:rsidRPr="009A6BD2">
        <w:rPr>
          <w:rFonts w:ascii="Times New Roman" w:hAnsi="Times New Roman" w:cs="Times"/>
        </w:rPr>
        <w:t xml:space="preserve"> forme révèle l'espèce à laquelle il appartient et, de là, on infère le groupe social dont fait partie le coupable. On dit que c'est un homme de telle classe ou de tel clan </w:t>
      </w:r>
      <w:r w:rsidRPr="009A6BD2">
        <w:rPr>
          <w:rStyle w:val="Rimandonotaapidipagina"/>
          <w:rFonts w:ascii="Times New Roman" w:hAnsi="Times New Roman" w:cs="Times"/>
        </w:rPr>
        <w:footnoteReference w:id="638"/>
      </w:r>
      <w:r w:rsidRPr="009A6BD2">
        <w:rPr>
          <w:rFonts w:ascii="Times New Roman" w:hAnsi="Times New Roman" w:cs="Times"/>
        </w:rPr>
        <w:t xml:space="preserve"> selon que l'animal est un totem de ce clan ou de cette classe. C'est donc que l'â</w:t>
      </w:r>
      <w:r w:rsidRPr="009A6BD2">
        <w:rPr>
          <w:rFonts w:ascii="Times New Roman" w:hAnsi="Times New Roman" w:cs="Times"/>
        </w:rPr>
        <w:t>me est censée être venue sous la figure de l'animal totémique.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Dans d'autres sociétés, où le totémisme est affaibli ou a disparu, l'âme continue cependant à être pensée sous forme animale. Les indigènes du Cap Bedford (Queensland du Nord), croient que l'e</w:t>
      </w:r>
      <w:r w:rsidRPr="009A6BD2">
        <w:rPr>
          <w:rFonts w:ascii="Times New Roman" w:hAnsi="Times New Roman" w:cs="Times"/>
        </w:rPr>
        <w:t>nfant, au moment oh il entre dans le corps de la mère, est un courlis si c'est une fille, un serpent si c'est un garçon. Il ne prend qu'ensuite forme humaine </w:t>
      </w:r>
      <w:r w:rsidRPr="009A6BD2">
        <w:rPr>
          <w:rStyle w:val="Rimandonotaapidipagina"/>
          <w:rFonts w:ascii="Times New Roman" w:hAnsi="Times New Roman" w:cs="Times"/>
        </w:rPr>
        <w:footnoteReference w:id="639"/>
      </w:r>
      <w:r w:rsidRPr="009A6BD2">
        <w:rPr>
          <w:rFonts w:ascii="Times New Roman" w:hAnsi="Times New Roman" w:cs="Times"/>
        </w:rPr>
        <w:t>. Beaucoup d'Indiens de l'Amérique du Nord, dit le prince de Wied, disent qu'ils ont un animal da</w:t>
      </w:r>
      <w:r w:rsidRPr="009A6BD2">
        <w:rPr>
          <w:rFonts w:ascii="Times New Roman" w:hAnsi="Times New Roman" w:cs="Times"/>
        </w:rPr>
        <w:t>ns le corps </w:t>
      </w:r>
      <w:r w:rsidRPr="009A6BD2">
        <w:rPr>
          <w:rStyle w:val="Rimandonotaapidipagina"/>
          <w:rFonts w:ascii="Times New Roman" w:hAnsi="Times New Roman" w:cs="Times"/>
        </w:rPr>
        <w:footnoteReference w:id="640"/>
      </w:r>
      <w:r w:rsidRPr="009A6BD2">
        <w:rPr>
          <w:rFonts w:ascii="Times New Roman" w:hAnsi="Times New Roman" w:cs="Times"/>
        </w:rPr>
        <w:t>. Les Bororo du Brésil se figurent leur âme sous l'aspect d'un oiseau et, pour cette raison, ils croient être des oiseaux de cette même variété </w:t>
      </w:r>
      <w:r w:rsidRPr="009A6BD2">
        <w:rPr>
          <w:rStyle w:val="Rimandonotaapidipagina"/>
          <w:rFonts w:ascii="Times New Roman" w:hAnsi="Times New Roman" w:cs="Times"/>
        </w:rPr>
        <w:footnoteReference w:id="641"/>
      </w:r>
      <w:r w:rsidRPr="009A6BD2">
        <w:rPr>
          <w:rFonts w:ascii="Times New Roman" w:hAnsi="Times New Roman" w:cs="Times"/>
        </w:rPr>
        <w:t>. Ailleurs, elle est conçue comme un serpent, un lézard, une mouche, une abeille, etc. </w:t>
      </w:r>
      <w:r w:rsidRPr="009A6BD2">
        <w:rPr>
          <w:rStyle w:val="Rimandonotaapidipagina"/>
          <w:rFonts w:ascii="Times New Roman" w:hAnsi="Times New Roman" w:cs="Times"/>
        </w:rPr>
        <w:footnoteReference w:id="64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w:t>
      </w:r>
      <w:r w:rsidRPr="009A6BD2">
        <w:rPr>
          <w:rFonts w:ascii="Times New Roman" w:hAnsi="Times New Roman" w:cs="Times"/>
        </w:rPr>
        <w:t>est surtout après la mort que cette nature animale de l'âme se manifeste. Pendant la vie, ce caractère est comme partiellement voilé par la forme même du corps humain. Mais, une fois que la mort l'a mise en liberté, elle redevient elle-même. Chez les Omaha</w:t>
      </w:r>
      <w:r w:rsidRPr="009A6BD2">
        <w:rPr>
          <w:rFonts w:ascii="Times New Roman" w:hAnsi="Times New Roman" w:cs="Times"/>
        </w:rPr>
        <w:t>, dans deux au moins des clans du buffle, on croit que les âmes des morts s'en vont rejoindre les buffles, leurs ancêtres </w:t>
      </w:r>
      <w:r w:rsidRPr="009A6BD2">
        <w:rPr>
          <w:rStyle w:val="Rimandonotaapidipagina"/>
          <w:rFonts w:ascii="Times New Roman" w:hAnsi="Times New Roman" w:cs="Times"/>
        </w:rPr>
        <w:footnoteReference w:id="643"/>
      </w:r>
      <w:r w:rsidRPr="009A6BD2">
        <w:rPr>
          <w:rFonts w:ascii="Times New Roman" w:hAnsi="Times New Roman" w:cs="Times"/>
        </w:rPr>
        <w:t>. Les Hopi sont divisés en un certain nombre de clans, dont les ancêtres étaient des animaux ou des êtres à forme animale. Or, rappor</w:t>
      </w:r>
      <w:r w:rsidRPr="009A6BD2">
        <w:rPr>
          <w:rFonts w:ascii="Times New Roman" w:hAnsi="Times New Roman" w:cs="Times"/>
        </w:rPr>
        <w:t>te Schoolcraft, ils disent qu'à la mort ils reprennent leur forme originelle ; chacun d'eux redevient un ours, un cerf, selon le clan auquel il appartient </w:t>
      </w:r>
      <w:r w:rsidRPr="009A6BD2">
        <w:rPr>
          <w:rStyle w:val="Rimandonotaapidipagina"/>
          <w:rFonts w:ascii="Times New Roman" w:hAnsi="Times New Roman" w:cs="Times"/>
        </w:rPr>
        <w:footnoteReference w:id="644"/>
      </w:r>
      <w:r w:rsidRPr="009A6BD2">
        <w:rPr>
          <w:rFonts w:ascii="Times New Roman" w:hAnsi="Times New Roman" w:cs="Times"/>
        </w:rPr>
        <w:t>. Très souvent, l'âme passe pour se réincarner dans un corps d'animal </w:t>
      </w:r>
      <w:r w:rsidRPr="009A6BD2">
        <w:rPr>
          <w:rStyle w:val="Rimandonotaapidipagina"/>
          <w:rFonts w:ascii="Times New Roman" w:hAnsi="Times New Roman" w:cs="Times"/>
        </w:rPr>
        <w:footnoteReference w:id="645"/>
      </w:r>
      <w:r w:rsidRPr="009A6BD2">
        <w:rPr>
          <w:rFonts w:ascii="Times New Roman" w:hAnsi="Times New Roman" w:cs="Times"/>
        </w:rPr>
        <w:t>. C'est de là très vraisembla</w:t>
      </w:r>
      <w:r w:rsidRPr="009A6BD2">
        <w:rPr>
          <w:rFonts w:ascii="Times New Roman" w:hAnsi="Times New Roman" w:cs="Times"/>
        </w:rPr>
        <w:t>blement qu'est venue la doctrine, si répandue, de la métem</w:t>
      </w:r>
      <w:r w:rsidRPr="009A6BD2">
        <w:rPr>
          <w:rFonts w:ascii="Times New Roman" w:hAnsi="Times New Roman" w:cs="Times"/>
        </w:rPr>
        <w:softHyphen/>
        <w:t>psychose. Nous avons vu combien Tylor est embarrassé pour en rendre compte </w:t>
      </w:r>
      <w:r w:rsidRPr="009A6BD2">
        <w:rPr>
          <w:rStyle w:val="Rimandonotaapidipagina"/>
          <w:rFonts w:ascii="Times New Roman" w:hAnsi="Times New Roman" w:cs="Times"/>
        </w:rPr>
        <w:footnoteReference w:id="646"/>
      </w:r>
      <w:r w:rsidRPr="009A6BD2">
        <w:rPr>
          <w:rFonts w:ascii="Times New Roman" w:hAnsi="Times New Roman" w:cs="Times"/>
        </w:rPr>
        <w:t>. Si l'âme est un principe essentiellement humain, quoi de plus singulier, en effet, que cette prédilection marquée qu'el</w:t>
      </w:r>
      <w:r w:rsidRPr="009A6BD2">
        <w:rPr>
          <w:rFonts w:ascii="Times New Roman" w:hAnsi="Times New Roman" w:cs="Times"/>
        </w:rPr>
        <w:t>le manifeste, dans un si grand nombre de sociétés, pour la forme animale ? Tout s'explique, au contraire, si, par sa constitution même, l'âme est proche parente de l'animal : car alors, en revenant, après la vie, au monde de l'animalité, elle ne fait que r</w:t>
      </w:r>
      <w:r w:rsidRPr="009A6BD2">
        <w:rPr>
          <w:rFonts w:ascii="Times New Roman" w:hAnsi="Times New Roman" w:cs="Times"/>
        </w:rPr>
        <w:t>etour</w:t>
      </w:r>
      <w:r w:rsidRPr="009A6BD2">
        <w:rPr>
          <w:rFonts w:ascii="Times New Roman" w:hAnsi="Times New Roman" w:cs="Times"/>
        </w:rPr>
        <w:softHyphen/>
        <w:t>ner à sa véritable nature. Ainsi, la généralité de la croyance à la métempsychose est une nouvelle preuve que les éléments constitutifs de l'idée d'âme ont été principalement emprun</w:t>
      </w:r>
      <w:r w:rsidRPr="009A6BD2">
        <w:rPr>
          <w:rFonts w:ascii="Times New Roman" w:hAnsi="Times New Roman" w:cs="Times"/>
        </w:rPr>
        <w:softHyphen/>
        <w:t>tés au règne animal, comme le suppose la théorie que nous venons d'e</w:t>
      </w:r>
      <w:r w:rsidRPr="009A6BD2">
        <w:rPr>
          <w:rFonts w:ascii="Times New Roman" w:hAnsi="Times New Roman" w:cs="Times"/>
        </w:rPr>
        <w:t>xposer.</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48" w:name="livre_2_chap_8_4"/>
      <w:r w:rsidRPr="009A6BD2">
        <w:rPr>
          <w:rFonts w:ascii="Times New Roman" w:hAnsi="Times New Roman"/>
        </w:rPr>
        <w:t>IV</w:t>
      </w:r>
    </w:p>
    <w:bookmarkEnd w:id="48"/>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 xml:space="preserve">Ainsi la notion d'âme est une application particulière des croyances relatives aux êtres sacrés. Par là se trouve expliqué le caractère religieux que cette idée a présenté dès qu'elle est apparue dans </w:t>
      </w:r>
      <w:r w:rsidRPr="009A6BD2">
        <w:rPr>
          <w:rFonts w:ascii="Times New Roman" w:hAnsi="Times New Roman" w:cs="Times"/>
        </w:rPr>
        <w:t>l'histoire et qu'elle conserve encore aujourd'hui. L'âme, en effet, a toujours été considérée comme une chose sacrée ; à ce titre, elle s'oppose au corps qui, par lui-même, est profane, Elle ne se distingue pas seulement de son enveloppe matérielle comme l</w:t>
      </w:r>
      <w:r w:rsidRPr="009A6BD2">
        <w:rPr>
          <w:rFonts w:ascii="Times New Roman" w:hAnsi="Times New Roman" w:cs="Times"/>
        </w:rPr>
        <w:t>e dedans du dehors; on ne se la représente pas simplement comme faite d'une matière plus subtile, plus fluide ; mais, de plus, elle inspire quelque chose de ces sentiments qui sont partout réservés à ce qui est divin. Si l'on n'en fait pas un dieu, on y vo</w:t>
      </w:r>
      <w:r w:rsidRPr="009A6BD2">
        <w:rPr>
          <w:rFonts w:ascii="Times New Roman" w:hAnsi="Times New Roman" w:cs="Times"/>
        </w:rPr>
        <w:t>it du moins une étincelle de la divinité,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caractère essentiel serait inexplicable si l'idée d'âme n'était qu'une solution pré-scientifique apportée au problème du rêve : car, comme il n'y a rien dans le rêve qui puisse éveiller l'émotion religieuse, la</w:t>
      </w:r>
      <w:r w:rsidRPr="009A6BD2">
        <w:rPr>
          <w:rFonts w:ascii="Times New Roman" w:hAnsi="Times New Roman" w:cs="Times"/>
        </w:rPr>
        <w:t xml:space="preserve"> cause par laquelle on en rend compte ne saurait être d'une autre nature. Mais si l'âme est une partie de la substance divine, elle représente en nous autre chose que nous-mêmes ; si elle est faite de la même matière mentale que les êtres sacrés, il est na</w:t>
      </w:r>
      <w:r w:rsidRPr="009A6BD2">
        <w:rPr>
          <w:rFonts w:ascii="Times New Roman" w:hAnsi="Times New Roman" w:cs="Times"/>
        </w:rPr>
        <w:t>turel qu'elle soit l'objet des mêmes sentiments.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Et le caractère que l'homme s'attribue ainsi n'est pas le produit d'une pure illusion; tout comme la notion de force religieuse et de divinité, la notion d'âme n'est pas sans réalité. Il est bien vrai que n</w:t>
      </w:r>
      <w:r w:rsidRPr="009A6BD2">
        <w:rPr>
          <w:rFonts w:ascii="Times New Roman" w:hAnsi="Times New Roman" w:cs="Times"/>
        </w:rPr>
        <w:t>ous sommes formés de deux parties distinctes qui s'opposent l'une à l'autre comme le profane au sacré, et l'on peut dire, en un sens, qu'il y a du divin en nous. Car la société, cette source unique de tout ce qui est sacré, ne se borne pas à nous mouvoir d</w:t>
      </w:r>
      <w:r w:rsidRPr="009A6BD2">
        <w:rPr>
          <w:rFonts w:ascii="Times New Roman" w:hAnsi="Times New Roman" w:cs="Times"/>
        </w:rPr>
        <w:t>u dehors et à nous affecter passagèrement; elle s'organise en nous d'une manière durable. Elle y suscite tout un monde d'idées et de sentiments qui l'expriment, mais qui, en même temps, font partie intégrante et permanente de nous-mêmes. Quand l'Australien</w:t>
      </w:r>
      <w:r w:rsidRPr="009A6BD2">
        <w:rPr>
          <w:rFonts w:ascii="Times New Roman" w:hAnsi="Times New Roman" w:cs="Times"/>
        </w:rPr>
        <w:t xml:space="preserve"> sort d'une cérémonie religieuse, les représentations que la vie commune a éveillées ou a réveillées en lui ne s'abolissent pas d'un seul coup. Les figures des grands ancêtres, les exploits héroïques dont les rites commémorent le souvenir, les grandes chos</w:t>
      </w:r>
      <w:r w:rsidRPr="009A6BD2">
        <w:rPr>
          <w:rFonts w:ascii="Times New Roman" w:hAnsi="Times New Roman" w:cs="Times"/>
        </w:rPr>
        <w:t>es de toutes sortes auxquelles le culte l'a fait participer, en un mot les idéaux divers qu'il a élaborés collectivement continuent à vivre dans sa conscience et, par les émotions qui y sont attachées, par l'ascendant très spécial qu'ils exercent, ils se d</w:t>
      </w:r>
      <w:r w:rsidRPr="009A6BD2">
        <w:rPr>
          <w:rFonts w:ascii="Times New Roman" w:hAnsi="Times New Roman" w:cs="Times"/>
        </w:rPr>
        <w:t xml:space="preserve">istinguent nettement des impressions vulgaires qu'entretient en lui son commerce quotidien avec les choses extérieures. Les idées morales ont le même caractère. C'est la société qui les a gravées en nous, et, comme le respect qu'elle inspire se communique </w:t>
      </w:r>
      <w:r w:rsidRPr="009A6BD2">
        <w:rPr>
          <w:rFonts w:ascii="Times New Roman" w:hAnsi="Times New Roman" w:cs="Times"/>
        </w:rPr>
        <w:t>naturellement à tout ce qui vient d'elle, les normes impératives de la conduite se trouvent, en raison de leur origine, investies d'une autorité et d'une dignité que n'ont pas nos autres états intérieurs : aussi leur assignons-nous une place à part dans l'</w:t>
      </w:r>
      <w:r w:rsidRPr="009A6BD2">
        <w:rPr>
          <w:rFonts w:ascii="Times New Roman" w:hAnsi="Times New Roman" w:cs="Times"/>
        </w:rPr>
        <w:t>ensemble de notre vie psychique. Bien que notre conscience morale fasse partie de notre conscience, nous ne nous sentons pas de plain-pied avec elle. Dans cette voix qui ne se fait entendre que pour nous donner des ordres et pour rendre des arrêts, nous ne</w:t>
      </w:r>
      <w:r w:rsidRPr="009A6BD2">
        <w:rPr>
          <w:rFonts w:ascii="Times New Roman" w:hAnsi="Times New Roman" w:cs="Times"/>
        </w:rPr>
        <w:t xml:space="preserve"> pouvons reconnaître notre voix ; le ton même dont elle nous parle nous avertit qu'elle exprime en nous autre chose que nous. Voilà ce qu'il y a d'objectif dans l'idée d'âme : c'est que les représentations dont la trame constitue notre vie intérieure sont </w:t>
      </w:r>
      <w:r w:rsidRPr="009A6BD2">
        <w:rPr>
          <w:rFonts w:ascii="Times New Roman" w:hAnsi="Times New Roman" w:cs="Times"/>
        </w:rPr>
        <w:t>de deux espèces différentes et irréductibles l'une à l'autre. Les unes se rapportent au monde extérieur et matériel ; les autres, à un monde idéal auquel nous attri</w:t>
      </w:r>
      <w:r w:rsidRPr="009A6BD2">
        <w:rPr>
          <w:rFonts w:ascii="Times New Roman" w:hAnsi="Times New Roman" w:cs="Times"/>
        </w:rPr>
        <w:softHyphen/>
        <w:t>buons une supériorité morale sur le premier. Nous sommes donc réellement faits de deux être</w:t>
      </w:r>
      <w:r w:rsidRPr="009A6BD2">
        <w:rPr>
          <w:rFonts w:ascii="Times New Roman" w:hAnsi="Times New Roman" w:cs="Times"/>
        </w:rPr>
        <w:t>s qui sont orientés en des sens divergents et presque contraires, et dont l'un exerce sur l'autre une véritable prééminence. Tel est le sens profond de l'antithèse que tous les peuples ont plus ou moins clairement conçue entre le corps et l'âme, entre l'êt</w:t>
      </w:r>
      <w:r w:rsidRPr="009A6BD2">
        <w:rPr>
          <w:rFonts w:ascii="Times New Roman" w:hAnsi="Times New Roman" w:cs="Times"/>
        </w:rPr>
        <w:t>re sensible et l'être spirituel qui coexistent en nous. Moralistes et prédicateurs ont souvent soutenu qu'on ne peut nier la réalité du devoir et son caractère sacré sans aboutir au matérialisme. Et en effet, si nous n'avions pas la notion des impératifs m</w:t>
      </w:r>
      <w:r w:rsidRPr="009A6BD2">
        <w:rPr>
          <w:rFonts w:ascii="Times New Roman" w:hAnsi="Times New Roman" w:cs="Times"/>
        </w:rPr>
        <w:t>oraux et religieux </w:t>
      </w:r>
      <w:r w:rsidRPr="009A6BD2">
        <w:rPr>
          <w:rStyle w:val="Rimandonotaapidipagina"/>
          <w:rFonts w:ascii="Times New Roman" w:hAnsi="Times New Roman" w:cs="Times"/>
        </w:rPr>
        <w:footnoteReference w:id="647"/>
      </w:r>
      <w:r w:rsidRPr="009A6BD2">
        <w:rPr>
          <w:rFonts w:ascii="Times New Roman" w:hAnsi="Times New Roman" w:cs="Times"/>
        </w:rPr>
        <w:t>, notre vie psychique serait nivelée, tous nos états de conscience seraient sur le même plan et tout sentiment de dualité s'éva</w:t>
      </w:r>
      <w:r w:rsidRPr="009A6BD2">
        <w:rPr>
          <w:rFonts w:ascii="Times New Roman" w:hAnsi="Times New Roman" w:cs="Times"/>
        </w:rPr>
        <w:softHyphen/>
        <w:t>nouirait. Sans doute, pour rendre cette dualité intelligible, il n'est nullement nécessaire d'ima</w:t>
      </w:r>
      <w:r w:rsidRPr="009A6BD2">
        <w:rPr>
          <w:rFonts w:ascii="Times New Roman" w:hAnsi="Times New Roman" w:cs="Times"/>
        </w:rPr>
        <w:softHyphen/>
        <w:t>giner, sou</w:t>
      </w:r>
      <w:r w:rsidRPr="009A6BD2">
        <w:rPr>
          <w:rFonts w:ascii="Times New Roman" w:hAnsi="Times New Roman" w:cs="Times"/>
        </w:rPr>
        <w:t>s le nom d'âme, une substance mystérieuse et irreprésentable qui s'opposerait au corps. Mais, ici comme quand il s'est agi de la notion du sacré, l'erreur porte sur la lettre du symbole employé, non sur la réalité du fait symbolisé. Il reste vrai que notre</w:t>
      </w:r>
      <w:r w:rsidRPr="009A6BD2">
        <w:rPr>
          <w:rFonts w:ascii="Times New Roman" w:hAnsi="Times New Roman" w:cs="Times"/>
        </w:rPr>
        <w:t xml:space="preserve"> nature est double ; il y a vraiment en nous une parcelle de divinité parce qu'il y a en nous une parcelle de ces grands idéaux qui sont l'âme de la collectivité.</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L'âme individuelle n'est donc qu'une portion de l'âme collective du groupe ; c'est la forc</w:t>
      </w:r>
      <w:r w:rsidRPr="009A6BD2">
        <w:rPr>
          <w:rFonts w:ascii="Times New Roman" w:hAnsi="Times New Roman" w:cs="Times"/>
        </w:rPr>
        <w:t xml:space="preserve">e anonyme qui est à la base du culte, mais incarnée dans un individu dont elle épouse la personnalité ; c'est du </w:t>
      </w:r>
      <w:r w:rsidRPr="009A6BD2">
        <w:rPr>
          <w:rFonts w:ascii="Times New Roman" w:hAnsi="Times New Roman" w:cs="Times"/>
          <w:i/>
          <w:iCs/>
        </w:rPr>
        <w:t xml:space="preserve">mana </w:t>
      </w:r>
      <w:r w:rsidRPr="009A6BD2">
        <w:rPr>
          <w:rFonts w:ascii="Times New Roman" w:hAnsi="Times New Roman" w:cs="Times"/>
        </w:rPr>
        <w:t>individualisé. Le rêve a bien pu contribuer à déterminer certains caractères secondaires de l'idée. L'inconsistance et l'instabilité des i</w:t>
      </w:r>
      <w:r w:rsidRPr="009A6BD2">
        <w:rPr>
          <w:rFonts w:ascii="Times New Roman" w:hAnsi="Times New Roman" w:cs="Times"/>
        </w:rPr>
        <w:t>mages qui occupent notre esprit pendant le sommeil, leur remarquable aptitude à se transformer les unes dans les autres ont peut-être fourni le modèle de cette matière subtile, diaphane et protéimorphe dont l'âme passe pour être faite. D'autre part, les fa</w:t>
      </w:r>
      <w:r w:rsidRPr="009A6BD2">
        <w:rPr>
          <w:rFonts w:ascii="Times New Roman" w:hAnsi="Times New Roman" w:cs="Times"/>
        </w:rPr>
        <w:t>its de syncope, de catalepsie, etc. peuvent avoir sug</w:t>
      </w:r>
      <w:r w:rsidRPr="009A6BD2">
        <w:rPr>
          <w:rFonts w:ascii="Times New Roman" w:hAnsi="Times New Roman" w:cs="Times"/>
        </w:rPr>
        <w:softHyphen/>
        <w:t>gé</w:t>
      </w:r>
      <w:r w:rsidRPr="009A6BD2">
        <w:rPr>
          <w:rFonts w:ascii="Times New Roman" w:hAnsi="Times New Roman" w:cs="Times"/>
        </w:rPr>
        <w:softHyphen/>
        <w:t>ré l'idée que l'âme était mobile et, dès cette vie, quittait temporairement le corps ; ce qui, par contre-coup, a servi à expliquer certains rêves. Mais toutes ces expériences et ces observations n'o</w:t>
      </w:r>
      <w:r w:rsidRPr="009A6BD2">
        <w:rPr>
          <w:rFonts w:ascii="Times New Roman" w:hAnsi="Times New Roman" w:cs="Times"/>
        </w:rPr>
        <w:t>nt pu avoir qu'une influence accessoire et complémentaire dont il est même difficile d'établir l'existence. Ce qu'il y a de vraiment essentiel dans la notion vient d'ailleurs.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cette genèse de l'idée d'âme n'en méconnaît-elle pas le caractère essentie</w:t>
      </w:r>
      <w:r w:rsidRPr="009A6BD2">
        <w:rPr>
          <w:rFonts w:ascii="Times New Roman" w:hAnsi="Times New Roman" w:cs="Times"/>
        </w:rPr>
        <w:t>l ? Si l'âme n'est qu'une forme particulière du principe impersonnel qui est diffus dans le groupe, dans l'espèce totémique et dans les choses de toutes sortes qui y sont rattachées, elle est elle-même impersonnelle à sa base. Elle doit donc avoir, à des d</w:t>
      </w:r>
      <w:r w:rsidRPr="009A6BD2">
        <w:rPr>
          <w:rFonts w:ascii="Times New Roman" w:hAnsi="Times New Roman" w:cs="Times"/>
        </w:rPr>
        <w:t>ifférences de degrés près, les mêmes propriétés que la force dont elle n'est qu'un mode spécial, et notamment la même diffusion, la même aptitude à se répandre contagieusement, la même ubiquité. Or, tout au contraire, on se représente volontiers l'âme comm</w:t>
      </w:r>
      <w:r w:rsidRPr="009A6BD2">
        <w:rPr>
          <w:rFonts w:ascii="Times New Roman" w:hAnsi="Times New Roman" w:cs="Times"/>
        </w:rPr>
        <w:t>e un être concret, défini, tout entier ramassé sur lui-même et incommunicable aux autres ; on en fait la base de notre personnalité.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cette manière de concevoir l'âme est le produit d'une élaboration tardive et philoso</w:t>
      </w:r>
      <w:r w:rsidRPr="009A6BD2">
        <w:rPr>
          <w:rFonts w:ascii="Times New Roman" w:hAnsi="Times New Roman" w:cs="Times"/>
        </w:rPr>
        <w:softHyphen/>
        <w:t>phique. La représentation popula</w:t>
      </w:r>
      <w:r w:rsidRPr="009A6BD2">
        <w:rPr>
          <w:rFonts w:ascii="Times New Roman" w:hAnsi="Times New Roman" w:cs="Times"/>
        </w:rPr>
        <w:t>ire, telle qu'elle s'est spontanément dégagée de l'expérience commune, est très différente, surtout à l'origine. Pour l'Australien, l'âme est une très vague entité, aux formes indécises et flottantes, répandue dans tout l'organisme. Bien qu'elle se manifes</w:t>
      </w:r>
      <w:r w:rsidRPr="009A6BD2">
        <w:rPr>
          <w:rFonts w:ascii="Times New Roman" w:hAnsi="Times New Roman" w:cs="Times"/>
        </w:rPr>
        <w:t>te plus spécialement sur certains points, il n'en est peut-être pas d'où elle soit totalement absente. Elle a donc une diffusion, une contagiosité, une omniprésence compara</w:t>
      </w:r>
      <w:r w:rsidRPr="009A6BD2">
        <w:rPr>
          <w:rFonts w:ascii="Times New Roman" w:hAnsi="Times New Roman" w:cs="Times"/>
        </w:rPr>
        <w:softHyphen/>
        <w:t xml:space="preserve">bles à celles du </w:t>
      </w:r>
      <w:r w:rsidRPr="009A6BD2">
        <w:rPr>
          <w:rFonts w:ascii="Times New Roman" w:hAnsi="Times New Roman" w:cs="Times"/>
          <w:i/>
          <w:iCs/>
        </w:rPr>
        <w:t xml:space="preserve">mana. </w:t>
      </w:r>
      <w:r w:rsidRPr="009A6BD2">
        <w:rPr>
          <w:rFonts w:ascii="Times New Roman" w:hAnsi="Times New Roman" w:cs="Times"/>
        </w:rPr>
        <w:t>Comme le mana, elle peut se diviser et se dédoubler à l'infi</w:t>
      </w:r>
      <w:r w:rsidRPr="009A6BD2">
        <w:rPr>
          <w:rFonts w:ascii="Times New Roman" w:hAnsi="Times New Roman" w:cs="Times"/>
        </w:rPr>
        <w:t>ni, tout en restant tout entière dans chacune de ses parties ; c'est de ces divisions et de ces dédouble</w:t>
      </w:r>
      <w:r w:rsidRPr="009A6BD2">
        <w:rPr>
          <w:rFonts w:ascii="Times New Roman" w:hAnsi="Times New Roman" w:cs="Times"/>
        </w:rPr>
        <w:softHyphen/>
        <w:t>ments que résulte la pluralité des âmes. D'autre part, la doctrine de la réincarnation, dont nous avons établi la généralité, montre tout ce qu'il entr</w:t>
      </w:r>
      <w:r w:rsidRPr="009A6BD2">
        <w:rPr>
          <w:rFonts w:ascii="Times New Roman" w:hAnsi="Times New Roman" w:cs="Times"/>
        </w:rPr>
        <w:t>e d'éléments impersonnels dans l'idée d'âme et combien ils sont essentiels. Car pour qu'une même âme puisse revêtir une person</w:t>
      </w:r>
      <w:r w:rsidRPr="009A6BD2">
        <w:rPr>
          <w:rFonts w:ascii="Times New Roman" w:hAnsi="Times New Roman" w:cs="Times"/>
        </w:rPr>
        <w:softHyphen/>
        <w:t>nalité nouvelle à chaque génération, il faut que les formes individuelles dans lesquelles elle s'enveloppe successivement lui soi</w:t>
      </w:r>
      <w:r w:rsidRPr="009A6BD2">
        <w:rPr>
          <w:rFonts w:ascii="Times New Roman" w:hAnsi="Times New Roman" w:cs="Times"/>
        </w:rPr>
        <w:t>ent toutes également extérieures et ne tiennent pas à sa nature vraie. C'est une sorte de substance générique qui ne s'individualise que secondaire</w:t>
      </w:r>
      <w:r w:rsidRPr="009A6BD2">
        <w:rPr>
          <w:rFonts w:ascii="Times New Roman" w:hAnsi="Times New Roman" w:cs="Times"/>
        </w:rPr>
        <w:softHyphen/>
        <w:t>ment et superficiellement. Il s'en faut, d'ailleurs, que cette conception de l'âme ait totalement disparu. L</w:t>
      </w:r>
      <w:r w:rsidRPr="009A6BD2">
        <w:rPr>
          <w:rFonts w:ascii="Times New Roman" w:hAnsi="Times New Roman" w:cs="Times"/>
        </w:rPr>
        <w:t>e culte des reliques démontre que, aujourd'hui encore, pour la foule des croyants, l'âme d'un saint continue à adhérer à ses divers ossements, avec tous ses pouvoirs essentiels ; ce qui implique qu'on se la représente comme capable de se diffuser, de se su</w:t>
      </w:r>
      <w:r w:rsidRPr="009A6BD2">
        <w:rPr>
          <w:rFonts w:ascii="Times New Roman" w:hAnsi="Times New Roman" w:cs="Times"/>
        </w:rPr>
        <w:t>bdiviser, de s'incorporer simultanément à toute sorte de choses différentes.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 même qu'on retrouve dans l'âme les attributs caractéristiques du mana, des change</w:t>
      </w:r>
      <w:r w:rsidRPr="009A6BD2">
        <w:rPr>
          <w:rFonts w:ascii="Times New Roman" w:hAnsi="Times New Roman" w:cs="Times"/>
        </w:rPr>
        <w:softHyphen/>
        <w:t>ments secondaires et superficiels suffisent pour que du mana s'individualise sous forme d'âme</w:t>
      </w:r>
      <w:r w:rsidRPr="009A6BD2">
        <w:rPr>
          <w:rFonts w:ascii="Times New Roman" w:hAnsi="Times New Roman" w:cs="Times"/>
        </w:rPr>
        <w:t>. On passe de la première idée à la seconde sans solution de continuité. Toute force religieuse qui est attachée, d'une manière attitrée, à un être déterminé, participe des caractères de cet être, prend sa physionomie, devient son double spirituel. Tregear</w:t>
      </w:r>
      <w:r w:rsidRPr="009A6BD2">
        <w:rPr>
          <w:rFonts w:ascii="Times New Roman" w:hAnsi="Times New Roman" w:cs="Times"/>
        </w:rPr>
        <w:t>, dans son diction</w:t>
      </w:r>
      <w:r w:rsidRPr="009A6BD2">
        <w:rPr>
          <w:rFonts w:ascii="Times New Roman" w:hAnsi="Times New Roman" w:cs="Times"/>
        </w:rPr>
        <w:softHyphen/>
        <w:t xml:space="preserve">naire Maori-Polynésien a cru pouvoir rapprocher du mot </w:t>
      </w:r>
      <w:r w:rsidRPr="009A6BD2">
        <w:rPr>
          <w:rFonts w:ascii="Times New Roman" w:hAnsi="Times New Roman" w:cs="Times"/>
          <w:i/>
          <w:iCs/>
        </w:rPr>
        <w:t xml:space="preserve">mana </w:t>
      </w:r>
      <w:r w:rsidRPr="009A6BD2">
        <w:rPr>
          <w:rFonts w:ascii="Times New Roman" w:hAnsi="Times New Roman" w:cs="Times"/>
        </w:rPr>
        <w:t xml:space="preserve">tout un groupe d'autres mots, comme </w:t>
      </w:r>
      <w:r w:rsidRPr="009A6BD2">
        <w:rPr>
          <w:rFonts w:ascii="Times New Roman" w:hAnsi="Times New Roman" w:cs="Times"/>
          <w:i/>
          <w:iCs/>
        </w:rPr>
        <w:t xml:space="preserve">manawa, manamana, </w:t>
      </w:r>
      <w:r w:rsidRPr="009A6BD2">
        <w:rPr>
          <w:rFonts w:ascii="Times New Roman" w:hAnsi="Times New Roman" w:cs="Times"/>
        </w:rPr>
        <w:t xml:space="preserve">etc., qui paraissent être de la même famille et qui signifient cœur, vie, conscience. N'est-ce pas dire qu'il doit exister </w:t>
      </w:r>
      <w:r w:rsidRPr="009A6BD2">
        <w:rPr>
          <w:rFonts w:ascii="Times New Roman" w:hAnsi="Times New Roman" w:cs="Times"/>
        </w:rPr>
        <w:t>également quelque rapport de parenté entre les idées correspondantes, c'est-à-dire entre les notions de pouvoir imperson</w:t>
      </w:r>
      <w:r w:rsidRPr="009A6BD2">
        <w:rPr>
          <w:rFonts w:ascii="Times New Roman" w:hAnsi="Times New Roman" w:cs="Times"/>
        </w:rPr>
        <w:softHyphen/>
        <w:t>nel, et celles de vie intérieure, de force mentale, en un mot, d'âme </w:t>
      </w:r>
      <w:r w:rsidRPr="009A6BD2">
        <w:rPr>
          <w:rStyle w:val="Rimandonotaapidipagina"/>
          <w:rFonts w:ascii="Times New Roman" w:hAnsi="Times New Roman" w:cs="Times"/>
        </w:rPr>
        <w:footnoteReference w:id="648"/>
      </w:r>
      <w:r w:rsidRPr="009A6BD2">
        <w:rPr>
          <w:rFonts w:ascii="Times New Roman" w:hAnsi="Times New Roman" w:cs="Times"/>
        </w:rPr>
        <w:t xml:space="preserve"> ? Voilà pourquoi la question de savoir si le churinga est sacré </w:t>
      </w:r>
      <w:r w:rsidRPr="009A6BD2">
        <w:rPr>
          <w:rFonts w:ascii="Times New Roman" w:hAnsi="Times New Roman" w:cs="Times"/>
        </w:rPr>
        <w:t>parce qu'il sert d'habitat à une âme, comme le croient Spencer et Gillen, ou parce qu'il possède des vertus impersonnelles, comme le pense Strehlow, nous paraît de peu d'intérêt et sans portée sociologique. Que l'efficacité d'un objet sacré soit représenté</w:t>
      </w:r>
      <w:r w:rsidRPr="009A6BD2">
        <w:rPr>
          <w:rFonts w:ascii="Times New Roman" w:hAnsi="Times New Roman" w:cs="Times"/>
        </w:rPr>
        <w:t>e dans les esprits sous forme abstraite ou attribuée à quelque agent personnel, cela n'importe pas au fond des choses. Les racines psychologiques de l'une et de l'autre croyance sont identiquement les mêmes : une chose est sacrée parce qu'elle inspire, à u</w:t>
      </w:r>
      <w:r w:rsidRPr="009A6BD2">
        <w:rPr>
          <w:rFonts w:ascii="Times New Roman" w:hAnsi="Times New Roman" w:cs="Times"/>
        </w:rPr>
        <w:t>n titre quelconque, un sentiment collectif de respect qui la soustrait aux atteintes profanes. Pour s'expliquer ce sentiment, les hommes le rapportent tantôt à une cause vague et impré</w:t>
      </w:r>
      <w:r w:rsidRPr="009A6BD2">
        <w:rPr>
          <w:rFonts w:ascii="Times New Roman" w:hAnsi="Times New Roman" w:cs="Times"/>
        </w:rPr>
        <w:softHyphen/>
        <w:t>cise, tantôt à un être spirituel déterminé, doté d'un nom et d'une hist</w:t>
      </w:r>
      <w:r w:rsidRPr="009A6BD2">
        <w:rPr>
          <w:rFonts w:ascii="Times New Roman" w:hAnsi="Times New Roman" w:cs="Times"/>
        </w:rPr>
        <w:t>oire ; mais ces interpréta</w:t>
      </w:r>
      <w:r w:rsidRPr="009A6BD2">
        <w:rPr>
          <w:rFonts w:ascii="Times New Roman" w:hAnsi="Times New Roman" w:cs="Times"/>
        </w:rPr>
        <w:softHyphen/>
        <w:t>tions différentes se surajoutent à un processus fondamental qui est le même dans les deux cas.</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C'est d'ailleurs, ce qui explique les singulières confusions dont nous avons, chemin faisant, rencontré des exemples. L'individu, l'â</w:t>
      </w:r>
      <w:r w:rsidRPr="009A6BD2">
        <w:rPr>
          <w:rFonts w:ascii="Times New Roman" w:hAnsi="Times New Roman" w:cs="Times"/>
        </w:rPr>
        <w:t>me d'ancêtre qu'il réincarne ou dont la sienne est une émanation, son churinga, les animaux de l'espèce totémique, sont, disions-nous, choses partiellement équivalentes et substituables les unes aux autres. C'est que, sous de cer</w:t>
      </w:r>
      <w:r w:rsidRPr="009A6BD2">
        <w:rPr>
          <w:rFonts w:ascii="Times New Roman" w:hAnsi="Times New Roman" w:cs="Times"/>
        </w:rPr>
        <w:softHyphen/>
        <w:t>tains rapports, elles affe</w:t>
      </w:r>
      <w:r w:rsidRPr="009A6BD2">
        <w:rPr>
          <w:rFonts w:ascii="Times New Roman" w:hAnsi="Times New Roman" w:cs="Times"/>
        </w:rPr>
        <w:t xml:space="preserve">ctent toutes la conscience collective de la même manière. Si le churinga est sacré, c'est à cause des sentiments collectifs de respect qu'inspire l'emblème totémique, gravé sur sa surface ; or le même sentiment s'attache aux animaux ou aux plantes dont le </w:t>
      </w:r>
      <w:r w:rsidRPr="009A6BD2">
        <w:rPr>
          <w:rFonts w:ascii="Times New Roman" w:hAnsi="Times New Roman" w:cs="Times"/>
        </w:rPr>
        <w:t xml:space="preserve">totem reproduit la forme extérieure, à l'âme de l'individu puisqu'elle est elle-même pensée sous les espèces de l'être totémique, et enfin à l'âme ancestrale dont la précédente n'est qu'un aspect particulier. Ainsi tous ces objets divers, réels ou idéaux, </w:t>
      </w:r>
      <w:r w:rsidRPr="009A6BD2">
        <w:rPr>
          <w:rFonts w:ascii="Times New Roman" w:hAnsi="Times New Roman" w:cs="Times"/>
        </w:rPr>
        <w:t>ont un côté commun par où ils suscitent dans les consciences un même état affectif, et, par là, ils se confondent. Dans la mesure où ils sont exprimes par une seule et même représentation, ils sont indistincts. Voilà comment l'Arunta a pu être amené à voir</w:t>
      </w:r>
      <w:r w:rsidRPr="009A6BD2">
        <w:rPr>
          <w:rFonts w:ascii="Times New Roman" w:hAnsi="Times New Roman" w:cs="Times"/>
        </w:rPr>
        <w:t xml:space="preserve"> dans le churinga le corps commun de l'individu, de l'ancêtre, et même de l'être totémique. C'est une manière de s'exprimer à lui-même l'identité des sentiments dont ces différentes choses sont l'objet.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Toutefois, de ce que l'idée d'âme dérive de l'idée d</w:t>
      </w:r>
      <w:r w:rsidRPr="009A6BD2">
        <w:rPr>
          <w:rFonts w:ascii="Times New Roman" w:hAnsi="Times New Roman" w:cs="Times"/>
        </w:rPr>
        <w:t>e mana, il ne suit nullement que la première soit d'une origine relativement tardive ni qu'il ait en une époque de l'histoire oh les hommes n'auraient connu les forces religieuses que sous leurs formes impersonnelles. Quand, par le mot de préanimisme, on e</w:t>
      </w:r>
      <w:r w:rsidRPr="009A6BD2">
        <w:rPr>
          <w:rFonts w:ascii="Times New Roman" w:hAnsi="Times New Roman" w:cs="Times"/>
        </w:rPr>
        <w:t>ntend désigner une période historique pendant laquelle l'animisme aurait été totalement ignoré, on fait une hypothèse arbitraire </w:t>
      </w:r>
      <w:r w:rsidRPr="009A6BD2">
        <w:rPr>
          <w:rStyle w:val="Rimandonotaapidipagina"/>
          <w:rFonts w:ascii="Times New Roman" w:hAnsi="Times New Roman" w:cs="Times"/>
        </w:rPr>
        <w:footnoteReference w:id="649"/>
      </w:r>
      <w:r w:rsidRPr="009A6BD2">
        <w:rPr>
          <w:rFonts w:ascii="Times New Roman" w:hAnsi="Times New Roman" w:cs="Times"/>
        </w:rPr>
        <w:t xml:space="preserve"> ; car il n'y a pas de peuple où l'idée d'âme et l'idée de mana ne coexistent. On n'est donc pas fondé à supposer qu'elles se </w:t>
      </w:r>
      <w:r w:rsidRPr="009A6BD2">
        <w:rPr>
          <w:rFonts w:ascii="Times New Roman" w:hAnsi="Times New Roman" w:cs="Times"/>
        </w:rPr>
        <w:t>sont formées en deux temps distincts ; mais tout prouve qu'elles sont sensiblement contemporaines. De même qu'il n'existe pas de sociétés sans individus, les forces imperson</w:t>
      </w:r>
      <w:r w:rsidRPr="009A6BD2">
        <w:rPr>
          <w:rFonts w:ascii="Times New Roman" w:hAnsi="Times New Roman" w:cs="Times"/>
        </w:rPr>
        <w:softHyphen/>
        <w:t>nelles qui se dégagent de la collectivité ne peuvent se constituer sans s'incarner</w:t>
      </w:r>
      <w:r w:rsidRPr="009A6BD2">
        <w:rPr>
          <w:rFonts w:ascii="Times New Roman" w:hAnsi="Times New Roman" w:cs="Times"/>
        </w:rPr>
        <w:t xml:space="preserve"> dans des consciences individuelles où elles s'individualisent elles-mêmes. En réalité il n'y a pas là deux processus différents, mais deux aspects différents d'un seul et même processus. Il est vrai qu'ils n'ont pas une égale importance : l'un d'eux est p</w:t>
      </w:r>
      <w:r w:rsidRPr="009A6BD2">
        <w:rPr>
          <w:rFonts w:ascii="Times New Roman" w:hAnsi="Times New Roman" w:cs="Times"/>
        </w:rPr>
        <w:t>lus essentiel que l'autre. L'idée de mana ne suppose pas l'idée d'âme ; car pour que le mana puisse s'individualiser et se fragmenter en âmes particulières, il faut d'abord qu'il soit, et ce qu'il est en lui-même ne dépend pas des formes qu'il prend en s'i</w:t>
      </w:r>
      <w:r w:rsidRPr="009A6BD2">
        <w:rPr>
          <w:rFonts w:ascii="Times New Roman" w:hAnsi="Times New Roman" w:cs="Times"/>
        </w:rPr>
        <w:t>ndividualisant. Au contraire, l'idée d'âme ne peut se comprendre que par rapport à l'idée de mana. A ce titre, on peut bien dire qu'elle est due à une formation secondaire ; mais il s'agit d'une formation secondaire au sens logique, et non chronologique du</w:t>
      </w:r>
      <w:r w:rsidRPr="009A6BD2">
        <w:rPr>
          <w:rFonts w:ascii="Times New Roman" w:hAnsi="Times New Roman" w:cs="Times"/>
        </w:rPr>
        <w:t xml:space="preserve"> mot.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49" w:name="livre_2_chap_8_5"/>
      <w:r w:rsidRPr="009A6BD2">
        <w:rPr>
          <w:rFonts w:ascii="Times New Roman" w:hAnsi="Times New Roman"/>
        </w:rPr>
        <w:t>V</w:t>
      </w:r>
    </w:p>
    <w:bookmarkEnd w:id="49"/>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Mais d'où vient que les hommes ont cru que l'âme survivait au corps et pouvait même lui survivre pendant un temps indéfini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 l'analyse à laquelle nous avons procédé, il résulte que la croyance à l'im</w:t>
      </w:r>
      <w:r w:rsidRPr="009A6BD2">
        <w:rPr>
          <w:rFonts w:ascii="Times New Roman" w:hAnsi="Times New Roman" w:cs="Times"/>
        </w:rPr>
        <w:t>mortalité ne s'est nullement constituée sous l'influence d'idées morales. L'homme n'a pas imaginé de prolonger son existence au delà du tombeau afin qu'une juste rétribution des actes moraux pût être assurée dans une autre vie, à défaut de celle-ci ; car n</w:t>
      </w:r>
      <w:r w:rsidRPr="009A6BD2">
        <w:rPr>
          <w:rFonts w:ascii="Times New Roman" w:hAnsi="Times New Roman" w:cs="Times"/>
        </w:rPr>
        <w:t>ous avons vu que toute considé</w:t>
      </w:r>
      <w:r w:rsidRPr="009A6BD2">
        <w:rPr>
          <w:rFonts w:ascii="Times New Roman" w:hAnsi="Times New Roman" w:cs="Times"/>
        </w:rPr>
        <w:softHyphen/>
        <w:t>ration de ce genre était étrangère à la primitive conception de l'au-delà.</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ne peut davantage s'arrêter à l'hypothèse d'après laquelle l'autre vie aurait été conçue comme un moyen d'échapper à la perspective angoissante de</w:t>
      </w:r>
      <w:r w:rsidRPr="009A6BD2">
        <w:rPr>
          <w:rFonts w:ascii="Times New Roman" w:hAnsi="Times New Roman" w:cs="Times"/>
        </w:rPr>
        <w:t xml:space="preserve"> l'anéantissement. D'abord, il s'en faut que le besoin de survie personnelle ait été si vif à l'origine. Le primitif accepte généralement l'idée de la mort avec une sorte d'indifférence, Dressé à tenir peu de compte de son individualité, habitué à exposer </w:t>
      </w:r>
      <w:r w:rsidRPr="009A6BD2">
        <w:rPr>
          <w:rFonts w:ascii="Times New Roman" w:hAnsi="Times New Roman" w:cs="Times"/>
        </w:rPr>
        <w:t>sans cesse sa vie, il y renonce assez facilement </w:t>
      </w:r>
      <w:r w:rsidRPr="009A6BD2">
        <w:rPr>
          <w:rStyle w:val="Rimandonotaapidipagina"/>
          <w:rFonts w:ascii="Times New Roman" w:hAnsi="Times New Roman" w:cs="Times"/>
        </w:rPr>
        <w:footnoteReference w:id="650"/>
      </w:r>
      <w:r w:rsidRPr="009A6BD2">
        <w:rPr>
          <w:rFonts w:ascii="Times New Roman" w:hAnsi="Times New Roman" w:cs="Times"/>
        </w:rPr>
        <w:t>. De plus, l'immortalité qui lui est promise par les religions qu'il pratique n'a rien de personnel. Dans un grand nombre de cas, l'âme né continue pas ou ne continue pas longtemps la personnalité du défunt</w:t>
      </w:r>
      <w:r w:rsidRPr="009A6BD2">
        <w:rPr>
          <w:rFonts w:ascii="Times New Roman" w:hAnsi="Times New Roman" w:cs="Times"/>
        </w:rPr>
        <w:t>, puisque, oublieuse de son existence antérieure, elle s'en va, au bout de quelque temps, animer d'autres corps et devient ainsi le principe vivifiant de personnalités nouvelles. Même chez des peuples plus avancés, ce n'était pas la pâle et triste existenc</w:t>
      </w:r>
      <w:r w:rsidRPr="009A6BD2">
        <w:rPr>
          <w:rFonts w:ascii="Times New Roman" w:hAnsi="Times New Roman" w:cs="Times"/>
        </w:rPr>
        <w:t>e que les ombres menaient dans la Scheol ou dans l'Erèbe, qui pouvait atténuer les regrets que laissait le souvenir de la vie perdue.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Une explication plus satisfaisante est celle qui rattache la conception d'une vie posthume aux expériences du rêve. Nos p</w:t>
      </w:r>
      <w:r w:rsidRPr="009A6BD2">
        <w:rPr>
          <w:rFonts w:ascii="Times New Roman" w:hAnsi="Times New Roman" w:cs="Times"/>
        </w:rPr>
        <w:t xml:space="preserve">arents, nos amis morts nous réapparaissent en songé : nous les voyons agir ; nous les entendons parler ; il était naturel d'en conclure qu'ils continuent à exister. Mais si ces observations ont pu servir à confirmer l'idée, une fois qu'elle fut née, elles </w:t>
      </w:r>
      <w:r w:rsidRPr="009A6BD2">
        <w:rPr>
          <w:rFonts w:ascii="Times New Roman" w:hAnsi="Times New Roman" w:cs="Times"/>
        </w:rPr>
        <w:t>ne semblent pas de nature à l'avoir suscitée de toutes pièces. Les rêves où nous voyons revivre des personnes disparues sont trop rares, trop courts et ne laissent d'eux-mêmes que des souvenirs trop vagues pour avoir, à eux seuls, suggéré aux hommes un aus</w:t>
      </w:r>
      <w:r w:rsidRPr="009A6BD2">
        <w:rPr>
          <w:rFonts w:ascii="Times New Roman" w:hAnsi="Times New Roman" w:cs="Times"/>
        </w:rPr>
        <w:t>si important système de croyances. Il y a une disproportion marquée entre l'effet et la cause à laquelle il est attribué.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qui rend la question embarrassante, c'est que, par elle-même, la notion d'âme n'impli</w:t>
      </w:r>
      <w:r w:rsidRPr="009A6BD2">
        <w:rPr>
          <w:rFonts w:ascii="Times New Roman" w:hAnsi="Times New Roman" w:cs="Times"/>
        </w:rPr>
        <w:softHyphen/>
        <w:t>quait pas l'idée de survie, mais semblait pl</w:t>
      </w:r>
      <w:r w:rsidRPr="009A6BD2">
        <w:rPr>
          <w:rFonts w:ascii="Times New Roman" w:hAnsi="Times New Roman" w:cs="Times"/>
        </w:rPr>
        <w:t>utôt l'exclure. Nous avons vu, en effet, que l'âme, tout en étant distinguée du corps, passe pourtant pour en être étroitement solidaire : elle vieillit quand il vieillit; elle subit le contre-coup de toutes les maladies qui l'atteignent ; il devait donc p</w:t>
      </w:r>
      <w:r w:rsidRPr="009A6BD2">
        <w:rPr>
          <w:rFonts w:ascii="Times New Roman" w:hAnsi="Times New Roman" w:cs="Times"/>
        </w:rPr>
        <w:t>araître naturel qu'elle mourût avec lui. Tout au moins, on aurait dû croire qu'elle cessait d'exister, à partir du moment où il avait définitivement perdu sa forme première où il ne restait plus rien de ce qu'il avait été. Cependant, c'est juste à partir d</w:t>
      </w:r>
      <w:r w:rsidRPr="009A6BD2">
        <w:rPr>
          <w:rFonts w:ascii="Times New Roman" w:hAnsi="Times New Roman" w:cs="Times"/>
        </w:rPr>
        <w:t>e ce moment que s'ouvre pour elle une vie nouvelle.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Les mythes que nous avons précédemment rapportés nous fournissent la seule explication qui puisse être donnée de cette croyance. Nous avons vu que les âmes des nouveau-nés étaient ou des émanations d'âme</w:t>
      </w:r>
      <w:r w:rsidRPr="009A6BD2">
        <w:rPr>
          <w:rFonts w:ascii="Times New Roman" w:hAnsi="Times New Roman" w:cs="Times"/>
        </w:rPr>
        <w:t>s ancestrales ou ces âmes mêmes réincarnées. Mais pour qu'elles pussent soit se réincarner soit dégager périodiquement des émanations nouvelles, il fallait qu'elles survécussent à leurs premiers détenteurs. Il semble donc bien qu'on ait admis la survie des</w:t>
      </w:r>
      <w:r w:rsidRPr="009A6BD2">
        <w:rPr>
          <w:rFonts w:ascii="Times New Roman" w:hAnsi="Times New Roman" w:cs="Times"/>
        </w:rPr>
        <w:t xml:space="preserve"> morts pour pouvoir expliquer la naissance des vivants. Le primitif n'a pas l'idée d'un dieu tout-puissant qui tire les âmes du néant. Il lui semble qu'on ne peut faire des âmes qu'avec des âmes. Celles qui naissent ne peuvent donc être que des formes nouv</w:t>
      </w:r>
      <w:r w:rsidRPr="009A6BD2">
        <w:rPr>
          <w:rFonts w:ascii="Times New Roman" w:hAnsi="Times New Roman" w:cs="Times"/>
        </w:rPr>
        <w:t xml:space="preserve">elles de celles qui ont été ; par suite, il faut que celles-ci continuent à être pour que d'autres puissent se former. En définitive, la croyance à l'immortalité des âmes est la seule manière dont l'homme puisse alors s'expliquer à lui-même un fait qui ne </w:t>
      </w:r>
      <w:r w:rsidRPr="009A6BD2">
        <w:rPr>
          <w:rFonts w:ascii="Times New Roman" w:hAnsi="Times New Roman" w:cs="Times"/>
        </w:rPr>
        <w:t xml:space="preserve">peut pas ne pas frapper son attention; c'est la perpétuité de la vie du groupe. Les individus meurent; mais le clan survit. Les forces qui font sa vie doivent donc avoir la même perpétuité. Or ces forces, ce sont les âmes qui animent les corps individuels </w:t>
      </w:r>
      <w:r w:rsidRPr="009A6BD2">
        <w:rPr>
          <w:rFonts w:ascii="Times New Roman" w:hAnsi="Times New Roman" w:cs="Times"/>
        </w:rPr>
        <w:t>; car c'est en elles et par elles que le groupe se réalise. Pour cette raison, il faut qu'elles durent. Il est même nécessaire qu'en durant elles restent identiques à elles-mêmes; car, comme le clan garde toujours sa physionomie caractéristique, la substan</w:t>
      </w:r>
      <w:r w:rsidRPr="009A6BD2">
        <w:rPr>
          <w:rFonts w:ascii="Times New Roman" w:hAnsi="Times New Roman" w:cs="Times"/>
        </w:rPr>
        <w:t>ce spirituelle dont il est fait doit être conçue comme qualitativement invariable. Puisque c'est toujours le même clan avec le même principe totémique il faut que ce soient les mêmes âmes, les âmes n'étant que le principe totémique fragmenté et particulari</w:t>
      </w:r>
      <w:r w:rsidRPr="009A6BD2">
        <w:rPr>
          <w:rFonts w:ascii="Times New Roman" w:hAnsi="Times New Roman" w:cs="Times"/>
        </w:rPr>
        <w:t>sé. Il y a ainsi comme un plasma germinatif, d'ordre mystique, qui se transmet de génération en génération et qui fait ou, du moins, qui est censé faire l'unité spirituelle du clan à travers la durée. Et cette croyance, malgré son caractère symbolique, n'e</w:t>
      </w:r>
      <w:r w:rsidRPr="009A6BD2">
        <w:rPr>
          <w:rFonts w:ascii="Times New Roman" w:hAnsi="Times New Roman" w:cs="Times"/>
        </w:rPr>
        <w:t>st pas sans vérité objective. Car si le groupe n'est pas immortel au sens absolu du mot, il est vrai cependant qu'il dure pardessus les individus et qu'il renaît et se réincarne à chaque génération nouvelle.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 fait confirme cette interprétation. Nous avo</w:t>
      </w:r>
      <w:r w:rsidRPr="009A6BD2">
        <w:rPr>
          <w:rFonts w:ascii="Times New Roman" w:hAnsi="Times New Roman" w:cs="Times"/>
        </w:rPr>
        <w:t>ns vu que, d'après le témoignage de Strehlow, les Arunta distinguent deux sortes d'âmes : il y a, d'une part, celles des ancêtres de l'Alcheringa, et, de l'autre, celles des individus qui, à chaque moment de l'histoire, composent réellement l'effectif de l</w:t>
      </w:r>
      <w:r w:rsidRPr="009A6BD2">
        <w:rPr>
          <w:rFonts w:ascii="Times New Roman" w:hAnsi="Times New Roman" w:cs="Times"/>
        </w:rPr>
        <w:t>a tribu. Les secondes ne survivent au corps que pendant un temps assez court ; elles ne tardent pas à être totalement anéanties. Seules, les premières sont immor</w:t>
      </w:r>
      <w:r w:rsidRPr="009A6BD2">
        <w:rPr>
          <w:rFonts w:ascii="Times New Roman" w:hAnsi="Times New Roman" w:cs="Times"/>
        </w:rPr>
        <w:softHyphen/>
        <w:t>telles ; de même qu'elles sont incréées, elles ne périssent pas. Or, il est remarquable que ce</w:t>
      </w:r>
      <w:r w:rsidRPr="009A6BD2">
        <w:rPr>
          <w:rFonts w:ascii="Times New Roman" w:hAnsi="Times New Roman" w:cs="Times"/>
        </w:rPr>
        <w:t xml:space="preserve"> sont aussi les seules dont l'immortalité soit nécessaire pour expliquer la permanence du groupe ; car c'est à elles et à elles seules qu'incombe la fonction d'assurer la perpétuité du clan, puisque toute conception est leur oeuvre. Les autres n'ont, sous </w:t>
      </w:r>
      <w:r w:rsidRPr="009A6BD2">
        <w:rPr>
          <w:rFonts w:ascii="Times New Roman" w:hAnsi="Times New Roman" w:cs="Times"/>
        </w:rPr>
        <w:t>ce rapport, aucun rôle à jouer. Les âmes ne sont donc dites immortelles que dans la mesure où cette immortalité est utile pour rendre intelligible la continuité de la vie collective.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les causes qui suscitèrent les premières croyances relatives à un</w:t>
      </w:r>
      <w:r w:rsidRPr="009A6BD2">
        <w:rPr>
          <w:rFonts w:ascii="Times New Roman" w:hAnsi="Times New Roman" w:cs="Times"/>
        </w:rPr>
        <w:t>e autre vie furent sans rapports avec les fonctions que les institutions d'outre-tombe devaient remplir plus tard. Mais une fois nées, elles furent vite utilisées pour des fins différentes de celles qui avaient été leurs premières raisons d'être. Dès les s</w:t>
      </w:r>
      <w:r w:rsidRPr="009A6BD2">
        <w:rPr>
          <w:rFonts w:ascii="Times New Roman" w:hAnsi="Times New Roman" w:cs="Times"/>
        </w:rPr>
        <w:t>ociétés australiennes, nous les voyons qui commen</w:t>
      </w:r>
      <w:r w:rsidRPr="009A6BD2">
        <w:rPr>
          <w:rFonts w:ascii="Times New Roman" w:hAnsi="Times New Roman" w:cs="Times"/>
        </w:rPr>
        <w:softHyphen/>
        <w:t>cent à s'organiser dans ce but. D'ailleurs, elles n'eurent pas besoin pour cela de subir des trans</w:t>
      </w:r>
      <w:r w:rsidRPr="009A6BD2">
        <w:rPr>
          <w:rFonts w:ascii="Times New Roman" w:hAnsi="Times New Roman" w:cs="Times"/>
        </w:rPr>
        <w:softHyphen/>
        <w:t>for</w:t>
      </w:r>
      <w:r w:rsidRPr="009A6BD2">
        <w:rPr>
          <w:rFonts w:ascii="Times New Roman" w:hAnsi="Times New Roman" w:cs="Times"/>
        </w:rPr>
        <w:softHyphen/>
        <w:t>mations fondamentales. Tant il est vrai qu'une même institution sociale peut, sans changer de nature, r</w:t>
      </w:r>
      <w:r w:rsidRPr="009A6BD2">
        <w:rPr>
          <w:rFonts w:ascii="Times New Roman" w:hAnsi="Times New Roman" w:cs="Times"/>
        </w:rPr>
        <w:t>emplir successivement des fonctions différentes!</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50" w:name="livre_2_chap_8_6"/>
      <w:r w:rsidRPr="009A6BD2">
        <w:rPr>
          <w:rFonts w:ascii="Times New Roman" w:hAnsi="Times New Roman"/>
        </w:rPr>
        <w:t>VI</w:t>
      </w:r>
    </w:p>
    <w:bookmarkEnd w:id="50"/>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L'idée d'âme a été pendant longtemps et reste encore en partie la forme populaire de l'idée de personnalité </w:t>
      </w:r>
      <w:r w:rsidRPr="009A6BD2">
        <w:rPr>
          <w:rStyle w:val="Rimandonotaapidipagina"/>
          <w:rFonts w:ascii="Times New Roman" w:hAnsi="Times New Roman" w:cs="Times"/>
        </w:rPr>
        <w:footnoteReference w:id="651"/>
      </w:r>
      <w:r w:rsidRPr="009A6BD2">
        <w:rPr>
          <w:rFonts w:ascii="Times New Roman" w:hAnsi="Times New Roman" w:cs="Times"/>
        </w:rPr>
        <w:t xml:space="preserve">. La genèse de la première de ces idées doit donc </w:t>
      </w:r>
      <w:r w:rsidRPr="009A6BD2">
        <w:rPr>
          <w:rFonts w:ascii="Times New Roman" w:hAnsi="Times New Roman" w:cs="Times"/>
        </w:rPr>
        <w:t>nous aider à comprendre comment la seconde s'est constituée.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ressort de ce qui précède que la notion de personne est le produit de deux sortes de facteurs. L'un est essentiellement impersonnel : c'est le principe spirituel qui sert d'âme à la collectiv</w:t>
      </w:r>
      <w:r w:rsidRPr="009A6BD2">
        <w:rPr>
          <w:rFonts w:ascii="Times New Roman" w:hAnsi="Times New Roman" w:cs="Times"/>
        </w:rPr>
        <w:t>ité. C'est lui, en effet, qui constitue la substance même des âmes individuelles. Or il n'est la chose de personne en particulier : il fait partie du patrimoine collectif ; en lui et par lui, toutes les consciences communient. Mais d'un autre côté, pour qu</w:t>
      </w:r>
      <w:r w:rsidRPr="009A6BD2">
        <w:rPr>
          <w:rFonts w:ascii="Times New Roman" w:hAnsi="Times New Roman" w:cs="Times"/>
        </w:rPr>
        <w:t>'il y ait des personne</w:t>
      </w:r>
      <w:r w:rsidRPr="009A6BD2">
        <w:rPr>
          <w:rFonts w:ascii="Times New Roman" w:hAnsi="Times New Roman" w:cs="Times"/>
        </w:rPr>
        <w:softHyphen/>
        <w:t>lités séparées, il faut qu'un autre facteur intervienne qui fragmente ce principe et qui le différencie : en d'autres termes, il faut un facteur d'individuation. C'est le corps qui joue ce rôle. Comme les corps sont distincts les uns</w:t>
      </w:r>
      <w:r w:rsidRPr="009A6BD2">
        <w:rPr>
          <w:rFonts w:ascii="Times New Roman" w:hAnsi="Times New Roman" w:cs="Times"/>
        </w:rPr>
        <w:t xml:space="preserve"> des autres, comme ils occupent des points différents du temps et de l'espace, chacun d'eux constitue un milieu spécial où les représenta</w:t>
      </w:r>
      <w:r w:rsidRPr="009A6BD2">
        <w:rPr>
          <w:rFonts w:ascii="Times New Roman" w:hAnsi="Times New Roman" w:cs="Times"/>
        </w:rPr>
        <w:softHyphen/>
        <w:t xml:space="preserve">tions collectives viennent </w:t>
      </w:r>
      <w:r w:rsidRPr="009A6BD2">
        <w:rPr>
          <w:rFonts w:ascii="Times New Roman" w:hAnsi="Times New Roman" w:cs="Times"/>
          <w:i/>
          <w:iCs/>
        </w:rPr>
        <w:t xml:space="preserve">se </w:t>
      </w:r>
      <w:r w:rsidRPr="009A6BD2">
        <w:rPr>
          <w:rFonts w:ascii="Times New Roman" w:hAnsi="Times New Roman" w:cs="Times"/>
        </w:rPr>
        <w:t>réfracter et se colorer différemment. Il en résulte que, si toutes les consciences engag</w:t>
      </w:r>
      <w:r w:rsidRPr="009A6BD2">
        <w:rPr>
          <w:rFonts w:ascii="Times New Roman" w:hAnsi="Times New Roman" w:cs="Times"/>
        </w:rPr>
        <w:t xml:space="preserve">ées dans ces corps ont vue sur le même monde, à savoir que le monde d'idées et de sentiments qui font l'unité morale du groupe, elles ne le voient pas toutes sous le même angle ; chacune l'exprime à </w:t>
      </w:r>
      <w:r w:rsidRPr="009A6BD2">
        <w:rPr>
          <w:rFonts w:ascii="Times New Roman" w:hAnsi="Times New Roman" w:cs="Times"/>
          <w:i/>
          <w:iCs/>
        </w:rPr>
        <w:t xml:space="preserve">sa </w:t>
      </w:r>
      <w:r w:rsidRPr="009A6BD2">
        <w:rPr>
          <w:rFonts w:ascii="Times New Roman" w:hAnsi="Times New Roman" w:cs="Times"/>
        </w:rPr>
        <w:t>façon.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De ces deux facteurs, également indispensables</w:t>
      </w:r>
      <w:r w:rsidRPr="009A6BD2">
        <w:rPr>
          <w:rFonts w:ascii="Times New Roman" w:hAnsi="Times New Roman" w:cs="Times"/>
        </w:rPr>
        <w:t xml:space="preserve">, </w:t>
      </w:r>
      <w:r w:rsidRPr="009A6BD2">
        <w:rPr>
          <w:rFonts w:ascii="Times New Roman" w:hAnsi="Times New Roman" w:cs="Times"/>
          <w:i/>
          <w:iCs/>
        </w:rPr>
        <w:t xml:space="preserve">le </w:t>
      </w:r>
      <w:r w:rsidRPr="009A6BD2">
        <w:rPr>
          <w:rFonts w:ascii="Times New Roman" w:hAnsi="Times New Roman" w:cs="Times"/>
        </w:rPr>
        <w:t xml:space="preserve">premier n'est certes pas le moins important ; car c'est </w:t>
      </w:r>
      <w:r w:rsidRPr="009A6BD2">
        <w:rPr>
          <w:rFonts w:ascii="Times New Roman" w:hAnsi="Times New Roman" w:cs="Times"/>
          <w:i/>
          <w:iCs/>
        </w:rPr>
        <w:t xml:space="preserve">lui qui </w:t>
      </w:r>
      <w:r w:rsidRPr="009A6BD2">
        <w:rPr>
          <w:rFonts w:ascii="Times New Roman" w:hAnsi="Times New Roman" w:cs="Times"/>
        </w:rPr>
        <w:t>fournit la matière première de l'idée d'âme. On sera peut-être étonné de voir attribuer un rôle aussi considérable à l'élément impersonnel dans la genèse de la notion de personnalité. Mai</w:t>
      </w:r>
      <w:r w:rsidRPr="009A6BD2">
        <w:rPr>
          <w:rFonts w:ascii="Times New Roman" w:hAnsi="Times New Roman" w:cs="Times"/>
        </w:rPr>
        <w:t xml:space="preserve">s l'analyse philosophique de l'idée de personne, qui a devancé, et de beaucoup, l'analyse sociologique, est arrivée sur ce point à des résultats analogues. Entre tous les philosophes, Leibniz est un de ceux qui ont eu le plus vif sentiment de ce qu'est la </w:t>
      </w:r>
      <w:r w:rsidRPr="009A6BD2">
        <w:rPr>
          <w:rFonts w:ascii="Times New Roman" w:hAnsi="Times New Roman" w:cs="Times"/>
        </w:rPr>
        <w:t>personnalité ; car la monade est, avant tout, un être personnel et autonome. Et cependant, pour Leibniz, le contenu de toutes les monades est identique, Toutes, en effet, sont des consciences qui expriment un seul et même objet, le monde ; et comme le mond</w:t>
      </w:r>
      <w:r w:rsidRPr="009A6BD2">
        <w:rPr>
          <w:rFonts w:ascii="Times New Roman" w:hAnsi="Times New Roman" w:cs="Times"/>
        </w:rPr>
        <w:t xml:space="preserve">e lui-même n'est qu'un système de représentations, chaque conscience particulière n'est, en somme, qu'un reflet de la conscience universelle. Seulement, chacune l'exprime de son point de vue et à </w:t>
      </w:r>
      <w:r w:rsidRPr="009A6BD2">
        <w:rPr>
          <w:rFonts w:ascii="Times New Roman" w:hAnsi="Times New Roman" w:cs="Times"/>
          <w:i/>
          <w:iCs/>
        </w:rPr>
        <w:t xml:space="preserve">sa </w:t>
      </w:r>
      <w:r w:rsidRPr="009A6BD2">
        <w:rPr>
          <w:rFonts w:ascii="Times New Roman" w:hAnsi="Times New Roman" w:cs="Times"/>
        </w:rPr>
        <w:t>manière, On sait comment cette différence de perspectives</w:t>
      </w:r>
      <w:r w:rsidRPr="009A6BD2">
        <w:rPr>
          <w:rFonts w:ascii="Times New Roman" w:hAnsi="Times New Roman" w:cs="Times"/>
        </w:rPr>
        <w:t xml:space="preserve"> vient de ce que les monades sont diversement situées les unes par rapport aux autres et par rapport au système total qu'elles constituent.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Sous une autre forme, Kant exprime le même sentiment. Pour lui, la clef de voûte de la personnalité est la volonté.</w:t>
      </w:r>
      <w:r w:rsidRPr="009A6BD2">
        <w:rPr>
          <w:rFonts w:ascii="Times New Roman" w:hAnsi="Times New Roman" w:cs="Times"/>
        </w:rPr>
        <w:t xml:space="preserve"> Or, la volonté est la faculté d'agir conformément à la raison, et la raison est ce qu'il y a de plus impersonnel en nous. Car la raison n'est pas ma raison ; c'est </w:t>
      </w:r>
      <w:r w:rsidRPr="009A6BD2">
        <w:rPr>
          <w:rFonts w:ascii="Times New Roman" w:hAnsi="Times New Roman" w:cs="Times"/>
          <w:i/>
          <w:iCs/>
        </w:rPr>
        <w:t xml:space="preserve">la </w:t>
      </w:r>
      <w:r w:rsidRPr="009A6BD2">
        <w:rPr>
          <w:rFonts w:ascii="Times New Roman" w:hAnsi="Times New Roman" w:cs="Times"/>
        </w:rPr>
        <w:t>raison humaine en général. Elle est le pouvoir qu'a l'esprit de s'élever, au-dessus du p</w:t>
      </w:r>
      <w:r w:rsidRPr="009A6BD2">
        <w:rPr>
          <w:rFonts w:ascii="Times New Roman" w:hAnsi="Times New Roman" w:cs="Times"/>
        </w:rPr>
        <w:t>articu</w:t>
      </w:r>
      <w:r w:rsidRPr="009A6BD2">
        <w:rPr>
          <w:rFonts w:ascii="Times New Roman" w:hAnsi="Times New Roman" w:cs="Times"/>
        </w:rPr>
        <w:softHyphen/>
        <w:t>lier, du contingent, de l'individuel, pour penser sous la forme de l'universel. On peut donc dire, de ce point de vue, que ce qui fait de l'homme une personne, c'est ce par quoi il se confond avec les autres hommes, ce qui fait de lui un homme, et n</w:t>
      </w:r>
      <w:r w:rsidRPr="009A6BD2">
        <w:rPr>
          <w:rFonts w:ascii="Times New Roman" w:hAnsi="Times New Roman" w:cs="Times"/>
        </w:rPr>
        <w:t>on tel homme. Le sens, le corps, en un mot tout ce qui individualise, est, au contraire, considéré par Kant comme l'anta</w:t>
      </w:r>
      <w:r w:rsidRPr="009A6BD2">
        <w:rPr>
          <w:rFonts w:ascii="Times New Roman" w:hAnsi="Times New Roman" w:cs="Times"/>
        </w:rPr>
        <w:softHyphen/>
        <w:t>goniste de la personnalité.</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C'est que l'individuation n'est pas la caractéristique essentielle de la personne. Une personne, ce n'est </w:t>
      </w:r>
      <w:r w:rsidRPr="009A6BD2">
        <w:rPr>
          <w:rFonts w:ascii="Times New Roman" w:hAnsi="Times New Roman" w:cs="Times"/>
        </w:rPr>
        <w:t>pas seulement un sujet singulier, qui se distingue de tous les autres. C'est, en outre et surtout, un être auquel est attribuée une autonomie relative par rapport au milieu avec lequel il est le plus immédiatement en contact. On se le représente comme capa</w:t>
      </w:r>
      <w:r w:rsidRPr="009A6BD2">
        <w:rPr>
          <w:rFonts w:ascii="Times New Roman" w:hAnsi="Times New Roman" w:cs="Times"/>
        </w:rPr>
        <w:t>ble, dans une certaine mesure, de se mouvoir de lui-même : c'est ce que Leibniz exprimait d'une manière outrancière, en disant de la monade qu'elle est complètement fermée au dehors. Or notre analyse permet de concevoir comment s'est formée cette conceptio</w:t>
      </w:r>
      <w:r w:rsidRPr="009A6BD2">
        <w:rPr>
          <w:rFonts w:ascii="Times New Roman" w:hAnsi="Times New Roman" w:cs="Times"/>
        </w:rPr>
        <w:t>n et à quoi elle répond.</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L'âme, en effet, expression symbolique de la personnalité, a ce même caractère. Bien qu'étroitement unie au corps, elle passe pour en être profondément distincte et pour jouir, par rapport à lui, d'une large indépendance. Pendant </w:t>
      </w:r>
      <w:r w:rsidRPr="009A6BD2">
        <w:rPr>
          <w:rFonts w:ascii="Times New Roman" w:hAnsi="Times New Roman" w:cs="Times"/>
        </w:rPr>
        <w:t>la vie, elle peut le quitter temporairement et elle s'en retire définitivement à la mort. Bien loin qu'elle en dépende, elle le domine de la dignité plus haute qui est en elle. Elle peut bien lui emprunter la forme extérieure sous laquelle elle s'individua</w:t>
      </w:r>
      <w:r w:rsidRPr="009A6BD2">
        <w:rPr>
          <w:rFonts w:ascii="Times New Roman" w:hAnsi="Times New Roman" w:cs="Times"/>
        </w:rPr>
        <w:t>lise, mais elle ne lui doit rien d'essentiel. Or, cette autonomie que tous les peuples ont prêtée à l'âme n'est pas purement illusoire et nous savons maintenant quel en est le fondement objectif. Il est bien vrai que les éléments qui servent à former l'idé</w:t>
      </w:r>
      <w:r w:rsidRPr="009A6BD2">
        <w:rPr>
          <w:rFonts w:ascii="Times New Roman" w:hAnsi="Times New Roman" w:cs="Times"/>
        </w:rPr>
        <w:t>e d'âme et ceux qui entrent dans la représentation du corps proviennent de deux sources différentes et indépendantes l'une de l'autre.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Les uns sont faits des impressions et des images qui se dégagent de tous les points de l'organisme; les autres consisten</w:t>
      </w:r>
      <w:r w:rsidRPr="009A6BD2">
        <w:rPr>
          <w:rFonts w:ascii="Times New Roman" w:hAnsi="Times New Roman" w:cs="Times"/>
        </w:rPr>
        <w:t>t en idées et en sentiments qui viennent de la société et qui l'expriment. Les premiers ne dérivent donc pas des seconds. Ainsi, il y a réellement une partie de nous-mêmes qui n'est placée sous la dépendance immédiate du facteur organique : c'est tout ce q</w:t>
      </w:r>
      <w:r w:rsidRPr="009A6BD2">
        <w:rPr>
          <w:rFonts w:ascii="Times New Roman" w:hAnsi="Times New Roman" w:cs="Times"/>
        </w:rPr>
        <w:t>ui, en nous, représente la société. Les idées générales que la religion ou la science gravent dans nos esprits, les opérations mentales que ces idées supposent, les croyances et les sentiments qui sont à la base de notre vie morale, toutes ces formes supér</w:t>
      </w:r>
      <w:r w:rsidRPr="009A6BD2">
        <w:rPr>
          <w:rFonts w:ascii="Times New Roman" w:hAnsi="Times New Roman" w:cs="Times"/>
        </w:rPr>
        <w:t>ieu</w:t>
      </w:r>
      <w:r w:rsidRPr="009A6BD2">
        <w:rPr>
          <w:rFonts w:ascii="Times New Roman" w:hAnsi="Times New Roman" w:cs="Times"/>
        </w:rPr>
        <w:softHyphen/>
        <w:t>res de l'activité psychique que la société éveille et développe en nous ne sont pas à la remor</w:t>
      </w:r>
      <w:r w:rsidRPr="009A6BD2">
        <w:rPr>
          <w:rFonts w:ascii="Times New Roman" w:hAnsi="Times New Roman" w:cs="Times"/>
        </w:rPr>
        <w:softHyphen/>
        <w:t xml:space="preserve">que du corps, comme nos sensations et nos états cœnesthésiques. C'est que, comme nous l'avons montré, le monde des représentations dans lequel se déroule la </w:t>
      </w:r>
      <w:r w:rsidRPr="009A6BD2">
        <w:rPr>
          <w:rFonts w:ascii="Times New Roman" w:hAnsi="Times New Roman" w:cs="Times"/>
        </w:rPr>
        <w:t>vie sociale se surajoute à son substrat matériel, bien loin qu'il en provienne : le déterminisme qui y règne est donc beaucoup plus souple que celui qui a ses racines dans la constitution de nos tissus et il laisse à l'agent une impression justifiée de plu</w:t>
      </w:r>
      <w:r w:rsidRPr="009A6BD2">
        <w:rPr>
          <w:rFonts w:ascii="Times New Roman" w:hAnsi="Times New Roman" w:cs="Times"/>
        </w:rPr>
        <w:t xml:space="preserve">s grande liberté. Le milieu dans lequel nous nous mouvons ainsi a quelque chose de moins opaque et de moins résistant : nous nous y sentons et nous y sommes plus à l'aise. En un mot, le seul moyen que nous ayons de nous libérer des forces physiques est de </w:t>
      </w:r>
      <w:r w:rsidRPr="009A6BD2">
        <w:rPr>
          <w:rFonts w:ascii="Times New Roman" w:hAnsi="Times New Roman" w:cs="Times"/>
        </w:rPr>
        <w:t>leur opposer les forces collectives.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 que nous tenons de la société nous est commun avec nos compagnons. Il s'en faut donc que nous soyons d'autant plus personnels que nous sommes plus individualisés. Les deux termes ne sont nullement synonymes : e</w:t>
      </w:r>
      <w:r w:rsidRPr="009A6BD2">
        <w:rPr>
          <w:rFonts w:ascii="Times New Roman" w:hAnsi="Times New Roman" w:cs="Times"/>
        </w:rPr>
        <w:t>n un sens, ils s'opposent plus qu'ils ne s'impli</w:t>
      </w:r>
      <w:r w:rsidRPr="009A6BD2">
        <w:rPr>
          <w:rFonts w:ascii="Times New Roman" w:hAnsi="Times New Roman" w:cs="Times"/>
        </w:rPr>
        <w:softHyphen/>
        <w:t>quent. La passion individualise et, pourtant, elle asservit. Nos sensations sont essentiellement individuelles ; mais nous sommes d'autant plus des personnes que nous sommes plus affran</w:t>
      </w:r>
      <w:r w:rsidRPr="009A6BD2">
        <w:rPr>
          <w:rFonts w:ascii="Times New Roman" w:hAnsi="Times New Roman" w:cs="Times"/>
        </w:rPr>
        <w:softHyphen/>
        <w:t>chis des sens, plus c</w:t>
      </w:r>
      <w:r w:rsidRPr="009A6BD2">
        <w:rPr>
          <w:rFonts w:ascii="Times New Roman" w:hAnsi="Times New Roman" w:cs="Times"/>
        </w:rPr>
        <w:t>apables de penser et d'agir par concepts. Ceux donc qui insistent sur tout ce qu'il y a de social dans l'individu n'entendent pas, pour cela, nier ou rabaisser la personnalité. Ils se refusent seulement à la confondre avec le fait de l'individuation </w:t>
      </w:r>
      <w:r w:rsidRPr="009A6BD2">
        <w:rPr>
          <w:rStyle w:val="Rimandonotaapidipagina"/>
          <w:rFonts w:ascii="Times New Roman" w:hAnsi="Times New Roman" w:cs="Times"/>
        </w:rPr>
        <w:footnoteReference w:id="652"/>
      </w:r>
      <w:r w:rsidRPr="009A6BD2">
        <w:rPr>
          <w:rFonts w:ascii="Times New Roman" w:hAnsi="Times New Roman" w:cs="Times"/>
        </w:rPr>
        <w:t>.</w:t>
      </w:r>
    </w:p>
    <w:p w:rsidR="009A6BD2" w:rsidRPr="009A6BD2" w:rsidRDefault="003E2D0F">
      <w:pPr>
        <w:rPr>
          <w:rFonts w:ascii="Times New Roman" w:hAnsi="Times New Roman" w:cs="Times"/>
        </w:rPr>
      </w:pPr>
      <w:r w:rsidRPr="009A6BD2">
        <w:rPr>
          <w:rFonts w:ascii="Times New Roman" w:hAnsi="Times New Roman" w:cs="Times"/>
        </w:rPr>
        <w:br w:type="page"/>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Titreniveau1"/>
        <w:rPr>
          <w:rFonts w:ascii="Times New Roman" w:hAnsi="Times New Roman"/>
        </w:rPr>
      </w:pPr>
      <w:bookmarkStart w:id="51" w:name="livre_2_chap_9"/>
      <w:r w:rsidRPr="009A6BD2">
        <w:rPr>
          <w:rFonts w:ascii="Times New Roman" w:hAnsi="Times New Roman"/>
        </w:rPr>
        <w:t>CHAPITRE IX</w:t>
      </w:r>
    </w:p>
    <w:p w:rsidR="009A6BD2" w:rsidRPr="009A6BD2" w:rsidRDefault="003E2D0F">
      <w:pPr>
        <w:rPr>
          <w:rFonts w:ascii="Times New Roman" w:hAnsi="Times New Roman" w:cs="Times"/>
        </w:rPr>
      </w:pPr>
    </w:p>
    <w:p w:rsidR="009A6BD2" w:rsidRPr="009A6BD2" w:rsidRDefault="003E2D0F">
      <w:pPr>
        <w:pStyle w:val="Titreniveau2"/>
        <w:rPr>
          <w:rFonts w:ascii="Times New Roman" w:hAnsi="Times New Roman"/>
        </w:rPr>
      </w:pPr>
      <w:r w:rsidRPr="009A6BD2">
        <w:rPr>
          <w:rFonts w:ascii="Times New Roman" w:hAnsi="Times New Roman"/>
        </w:rPr>
        <w:t>LA NOTION D'ESPRITS ET DE DIEUX</w:t>
      </w:r>
    </w:p>
    <w:bookmarkEnd w:id="51"/>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Avec la notion d'âme, nous sommes sortis du cercle des forces impersonnelles. Mais déjà les religions australiennes reconnaissent, au-dessus de l'âme, des personnalités mythiques d'un ordre supérieur : de</w:t>
      </w:r>
      <w:r w:rsidRPr="009A6BD2">
        <w:rPr>
          <w:rFonts w:ascii="Times New Roman" w:hAnsi="Times New Roman" w:cs="Times"/>
        </w:rPr>
        <w:t>s esprits, des héros civilisateurs et même des dieux proprement dits. Sans entrer dans le détail des mythologies, il nous faut, tout au moins, rechercher sous quelle forme ces trois catégories d'êtres spirituels se présentent en Australie et de quelle mani</w:t>
      </w:r>
      <w:r w:rsidRPr="009A6BD2">
        <w:rPr>
          <w:rFonts w:ascii="Times New Roman" w:hAnsi="Times New Roman" w:cs="Times"/>
        </w:rPr>
        <w:t>ère elles se rattachent à l'ensemble du système religieux.</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52" w:name="livre_2_chap_9_1"/>
      <w:r w:rsidRPr="009A6BD2">
        <w:rPr>
          <w:rFonts w:ascii="Times New Roman" w:hAnsi="Times New Roman"/>
        </w:rPr>
        <w:t>I</w:t>
      </w:r>
    </w:p>
    <w:bookmarkEnd w:id="52"/>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 xml:space="preserve">Une âme n'est pas un esprit. En effet, elle est internée dans un organisme déterminé ; quoiqu'elle puisse en sortir à de certains moments, normalement, </w:t>
      </w:r>
      <w:r w:rsidRPr="009A6BD2">
        <w:rPr>
          <w:rFonts w:ascii="Times New Roman" w:hAnsi="Times New Roman" w:cs="Times"/>
        </w:rPr>
        <w:t>elle en est prisonnière. Elle ne s'en échappe définitivement qu'à la mort, et encore avons-nous vu avec quelque difficulté cette séparation se consomme. L'esprit, au contraire, bien qu'il soit souvent uni par des liens étroits à un objet particulier, à une</w:t>
      </w:r>
      <w:r w:rsidRPr="009A6BD2">
        <w:rPr>
          <w:rFonts w:ascii="Times New Roman" w:hAnsi="Times New Roman" w:cs="Times"/>
        </w:rPr>
        <w:t xml:space="preserve"> source, à un rocher, à un arbre, à un astre, etc., bien qu'il y réside de préférence, peut s'en éloigner à volonté pour mener dans l'espace une existence indépendante. Aussi a-t-il un cercle d'action plus étendu. Il peut agir sur tous les individus qui l'</w:t>
      </w:r>
      <w:r w:rsidRPr="009A6BD2">
        <w:rPr>
          <w:rFonts w:ascii="Times New Roman" w:hAnsi="Times New Roman" w:cs="Times"/>
        </w:rPr>
        <w:t>approchent ou dont il s'approche.</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L'âme, au contraire, n'a guère d'influence que sur le corps qu'elle anime ; c'est très excep</w:t>
      </w:r>
      <w:r w:rsidRPr="009A6BD2">
        <w:rPr>
          <w:rFonts w:ascii="Times New Roman" w:hAnsi="Times New Roman" w:cs="Times"/>
        </w:rPr>
        <w:softHyphen/>
        <w:t>tion</w:t>
      </w:r>
      <w:r w:rsidRPr="009A6BD2">
        <w:rPr>
          <w:rFonts w:ascii="Times New Roman" w:hAnsi="Times New Roman" w:cs="Times"/>
        </w:rPr>
        <w:softHyphen/>
        <w:t>nellement que, au cours de sa vie terrestre, il lui arrive d'affecter des sujets étrangers.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si l'âme n'a pas les cara</w:t>
      </w:r>
      <w:r w:rsidRPr="009A6BD2">
        <w:rPr>
          <w:rFonts w:ascii="Times New Roman" w:hAnsi="Times New Roman" w:cs="Times"/>
        </w:rPr>
        <w:t>ctères distinctifs de l'esprit, elle les acquiert, au moins en partie, par la mort. En effet, une fois désincarnée, et tant qu'elle n'est pas de nouveau descen</w:t>
      </w:r>
      <w:r w:rsidRPr="009A6BD2">
        <w:rPr>
          <w:rFonts w:ascii="Times New Roman" w:hAnsi="Times New Roman" w:cs="Times"/>
        </w:rPr>
        <w:softHyphen/>
        <w:t>due dans un corps, elle a la même liberté de mouvements qu'un esprit. Sans doute, quand les rite</w:t>
      </w:r>
      <w:r w:rsidRPr="009A6BD2">
        <w:rPr>
          <w:rFonts w:ascii="Times New Roman" w:hAnsi="Times New Roman" w:cs="Times"/>
        </w:rPr>
        <w:t>s du deuil sont accomplis, elle est censée partir aux pays des âmes; mais d'abord, elle reste pendant assez longtemps autour du tombeau. De plus, alors même qu'elle s'en est défin</w:t>
      </w:r>
      <w:r w:rsidRPr="009A6BD2">
        <w:rPr>
          <w:rFonts w:ascii="Times New Roman" w:hAnsi="Times New Roman" w:cs="Times"/>
        </w:rPr>
        <w:softHyphen/>
        <w:t>itivement éloignée, on croit qu'elle continue à rôder autour du camp, dans l</w:t>
      </w:r>
      <w:r w:rsidRPr="009A6BD2">
        <w:rPr>
          <w:rFonts w:ascii="Times New Roman" w:hAnsi="Times New Roman" w:cs="Times"/>
        </w:rPr>
        <w:t>a brousse </w:t>
      </w:r>
      <w:r w:rsidRPr="009A6BD2">
        <w:rPr>
          <w:rStyle w:val="Rimandonotaapidipagina"/>
          <w:rFonts w:ascii="Times New Roman" w:hAnsi="Times New Roman" w:cs="Times"/>
        </w:rPr>
        <w:footnoteReference w:id="653"/>
      </w:r>
      <w:r w:rsidRPr="009A6BD2">
        <w:rPr>
          <w:rFonts w:ascii="Times New Roman" w:hAnsi="Times New Roman" w:cs="Times"/>
        </w:rPr>
        <w:t>. Géné</w:t>
      </w:r>
      <w:r w:rsidRPr="009A6BD2">
        <w:rPr>
          <w:rFonts w:ascii="Times New Roman" w:hAnsi="Times New Roman" w:cs="Times"/>
        </w:rPr>
        <w:softHyphen/>
        <w:t>ralement, on se la représente comme un être plutôt bienfaisant, surtout pour les membres de sa famille qui survivent : nous avons même vu que l'âme du père vient aider à la croissance de ses enfants ou de ses petits-enfants. Mais il arriv</w:t>
      </w:r>
      <w:r w:rsidRPr="009A6BD2">
        <w:rPr>
          <w:rFonts w:ascii="Times New Roman" w:hAnsi="Times New Roman" w:cs="Times"/>
        </w:rPr>
        <w:t>e aussi qu'elle fait preuve d'une véritable cruauté ; tout dépend de son humeur et de la manière dont elle est traitée par les vivants </w:t>
      </w:r>
      <w:r w:rsidRPr="009A6BD2">
        <w:rPr>
          <w:rStyle w:val="Rimandonotaapidipagina"/>
          <w:rFonts w:ascii="Times New Roman" w:hAnsi="Times New Roman" w:cs="Times"/>
        </w:rPr>
        <w:footnoteReference w:id="654"/>
      </w:r>
      <w:r w:rsidRPr="009A6BD2">
        <w:rPr>
          <w:rFonts w:ascii="Times New Roman" w:hAnsi="Times New Roman" w:cs="Times"/>
        </w:rPr>
        <w:t>. Aussi est-il recommandé, surtout aux femmes et aux enfants, de ne pas s'aventurer hors du camp pendant la nuit, afin d</w:t>
      </w:r>
      <w:r w:rsidRPr="009A6BD2">
        <w:rPr>
          <w:rFonts w:ascii="Times New Roman" w:hAnsi="Times New Roman" w:cs="Times"/>
        </w:rPr>
        <w:t>e ne pas s'exposer à de dangereuses rencontres </w:t>
      </w:r>
      <w:r w:rsidRPr="009A6BD2">
        <w:rPr>
          <w:rStyle w:val="Rimandonotaapidipagina"/>
          <w:rFonts w:ascii="Times New Roman" w:hAnsi="Times New Roman" w:cs="Times"/>
        </w:rPr>
        <w:footnoteReference w:id="65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Cependant, un revenant n'est pas un véritable esprit. D'abord, il n'a généralement qu'une puissance d'action restreinte ; ensuite, il n'a pas d'attributions définies. C'est un être vagabond à qui n'incombe</w:t>
      </w:r>
      <w:r w:rsidRPr="009A6BD2">
        <w:rPr>
          <w:rFonts w:ascii="Times New Roman" w:hAnsi="Times New Roman" w:cs="Times"/>
        </w:rPr>
        <w:t xml:space="preserve"> aucune tâche déterminée ; car la mort a eu justement pour effet de le mettre en dehors de tous les cadres réguliers ; c'est, par rapport aux vivants, une sorte de déclassé. Un esprit, au contraire, a toujours une efficacité d'un certain genre et c'est mêm</w:t>
      </w:r>
      <w:r w:rsidRPr="009A6BD2">
        <w:rPr>
          <w:rFonts w:ascii="Times New Roman" w:hAnsi="Times New Roman" w:cs="Times"/>
        </w:rPr>
        <w:t>e par là qu'il se définit ; il est préposé à un certain ordre de phénomènes, cosmiques ou sociaux; il a une fonction plus ou moins précise à remplir dans le système du monde.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il est des âmes qui satisfont à cette double condition et qui, par conséque</w:t>
      </w:r>
      <w:r w:rsidRPr="009A6BD2">
        <w:rPr>
          <w:rFonts w:ascii="Times New Roman" w:hAnsi="Times New Roman" w:cs="Times"/>
        </w:rPr>
        <w:t xml:space="preserve">nt, sont, au sens propre, des esprits. Ce sont les âmes de ces personnages mythiques que l'imagination populaire a placés à l'origine des temps, les gens de l'Alcheringa ou Altjiranhamitjina des Arunta, les Mura-mura des tribus du lac Eyre, les Muk-Kurnai </w:t>
      </w:r>
      <w:r w:rsidRPr="009A6BD2">
        <w:rPr>
          <w:rFonts w:ascii="Times New Roman" w:hAnsi="Times New Roman" w:cs="Times"/>
        </w:rPr>
        <w:t>des Kurnai, etc. En un sens, ce sont bien encore des âmes puisqu'elles passent pour avoir jadis animé des corps dont elles se sont séparées à un moment donné. Mais, alors même qu'elles vivaient d'une vie terrestre, elles possédaient déjà, comme nous l'avon</w:t>
      </w:r>
      <w:r w:rsidRPr="009A6BD2">
        <w:rPr>
          <w:rFonts w:ascii="Times New Roman" w:hAnsi="Times New Roman" w:cs="Times"/>
        </w:rPr>
        <w:t>s vu, des pouvoirs exceptionnels; elles avaient un mana supérieur à celui des hommes ordinaires et elles l'ont conservé. De plus, elles sont chargées de fonctions déterminées.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 premier lieu, que l'on accepte la version de Spencer et Gillen ou celle de S</w:t>
      </w:r>
      <w:r w:rsidRPr="009A6BD2">
        <w:rPr>
          <w:rFonts w:ascii="Times New Roman" w:hAnsi="Times New Roman" w:cs="Times"/>
        </w:rPr>
        <w:t>trehlow, c'est à elles que revient le soin d'assurer le recrutement périodique du clan. Elles sont préposées au phénomène de la conception.</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Une fois que la conception est opérée, la tâche de l'ancêtre n'est pas terminée. C'est à lui qu'il appartient de ve</w:t>
      </w:r>
      <w:r w:rsidRPr="009A6BD2">
        <w:rPr>
          <w:rFonts w:ascii="Times New Roman" w:hAnsi="Times New Roman" w:cs="Times"/>
        </w:rPr>
        <w:t xml:space="preserve">iller sur le nouveau-né. Plus tard, quand l'enfant est devenu un homme, il l'accompagne à la chasse, rabat vers lui le gibier, l'avertit, par la voie des songes, des dangers qu'il peut courir, le protège contre ses ennemis, etc. Sur ce point, Strehlow est </w:t>
      </w:r>
      <w:r w:rsidRPr="009A6BD2">
        <w:rPr>
          <w:rFonts w:ascii="Times New Roman" w:hAnsi="Times New Roman" w:cs="Times"/>
        </w:rPr>
        <w:t>entièrement d'accord avec Spencer et Gillen </w:t>
      </w:r>
      <w:r w:rsidRPr="009A6BD2">
        <w:rPr>
          <w:rStyle w:val="Rimandonotaapidipagina"/>
          <w:rFonts w:ascii="Times New Roman" w:hAnsi="Times New Roman" w:cs="Times"/>
        </w:rPr>
        <w:footnoteReference w:id="656"/>
      </w:r>
      <w:r w:rsidRPr="009A6BD2">
        <w:rPr>
          <w:rFonts w:ascii="Times New Roman" w:hAnsi="Times New Roman" w:cs="Times"/>
        </w:rPr>
        <w:t>. On se demandera, il est vrai, comment, dans la version de ces derniers, il est possible à l'ancêtre de s'acquitter de cette fonction ; car, puisqu'il se réincarne au moment de la conception, il devrait, semble</w:t>
      </w:r>
      <w:r w:rsidRPr="009A6BD2">
        <w:rPr>
          <w:rFonts w:ascii="Times New Roman" w:hAnsi="Times New Roman" w:cs="Times"/>
        </w:rPr>
        <w:t>-t-il, se confondre avec l'âme de l'enfant et, par suite, ne saurait le protéger du dehors. Mais c'est qu'en réalité il ne se réincarne pas tout entier ; il se dédouble seulement. Une partie de lui-même pénètre dans le corps de la femme et la féconde ; une</w:t>
      </w:r>
      <w:r w:rsidRPr="009A6BD2">
        <w:rPr>
          <w:rFonts w:ascii="Times New Roman" w:hAnsi="Times New Roman" w:cs="Times"/>
        </w:rPr>
        <w:t xml:space="preserve"> autre continue à exister au dehors et, sous le nom spécial d'Arumburinga, remplit l'office de génie tutélaire </w:t>
      </w:r>
      <w:r w:rsidRPr="009A6BD2">
        <w:rPr>
          <w:rStyle w:val="Rimandonotaapidipagina"/>
          <w:rFonts w:ascii="Times New Roman" w:hAnsi="Times New Roman" w:cs="Times"/>
        </w:rPr>
        <w:footnoteReference w:id="65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On voit combien grande est la parenté de cet esprit ancestral avec le </w:t>
      </w:r>
      <w:r w:rsidRPr="009A6BD2">
        <w:rPr>
          <w:rFonts w:ascii="Times New Roman" w:hAnsi="Times New Roman" w:cs="Times"/>
          <w:i/>
          <w:iCs/>
        </w:rPr>
        <w:t xml:space="preserve">genius </w:t>
      </w:r>
      <w:r w:rsidRPr="009A6BD2">
        <w:rPr>
          <w:rFonts w:ascii="Times New Roman" w:hAnsi="Times New Roman" w:cs="Times"/>
        </w:rPr>
        <w:t xml:space="preserve">des Latins, et le </w:t>
      </w:r>
      <w:r w:rsidRPr="009A6BD2">
        <w:rPr>
          <w:rFonts w:ascii="Times New Roman" w:hAnsi="Times New Roman" w:cs="Times"/>
          <w:i/>
          <w:iCs/>
        </w:rPr>
        <w:t>daimôn</w:t>
      </w:r>
      <w:r w:rsidRPr="009A6BD2">
        <w:rPr>
          <w:rFonts w:ascii="Times New Roman" w:hAnsi="Times New Roman" w:cs="Times"/>
        </w:rPr>
        <w:t xml:space="preserve"> des Grecs </w:t>
      </w:r>
      <w:r w:rsidRPr="009A6BD2">
        <w:rPr>
          <w:rStyle w:val="Rimandonotaapidipagina"/>
          <w:rFonts w:ascii="Times New Roman" w:hAnsi="Times New Roman" w:cs="Times"/>
        </w:rPr>
        <w:footnoteReference w:id="658"/>
      </w:r>
      <w:r w:rsidRPr="009A6BD2">
        <w:rPr>
          <w:rFonts w:ascii="Times New Roman" w:hAnsi="Times New Roman" w:cs="Times"/>
        </w:rPr>
        <w:t>. L'identité fonctionnelle e</w:t>
      </w:r>
      <w:r w:rsidRPr="009A6BD2">
        <w:rPr>
          <w:rFonts w:ascii="Times New Roman" w:hAnsi="Times New Roman" w:cs="Times"/>
        </w:rPr>
        <w:t xml:space="preserve">st complète. Le </w:t>
      </w:r>
      <w:r w:rsidRPr="009A6BD2">
        <w:rPr>
          <w:rFonts w:ascii="Times New Roman" w:hAnsi="Times New Roman" w:cs="Times"/>
          <w:i/>
          <w:iCs/>
        </w:rPr>
        <w:t xml:space="preserve">genius, </w:t>
      </w:r>
      <w:r w:rsidRPr="009A6BD2">
        <w:rPr>
          <w:rFonts w:ascii="Times New Roman" w:hAnsi="Times New Roman" w:cs="Times"/>
        </w:rPr>
        <w:t xml:space="preserve">en effet, c'est d'abord celui qui engendre, </w:t>
      </w:r>
      <w:r w:rsidRPr="009A6BD2">
        <w:rPr>
          <w:rFonts w:ascii="Times New Roman" w:hAnsi="Times New Roman" w:cs="Times"/>
          <w:i/>
          <w:iCs/>
        </w:rPr>
        <w:t xml:space="preserve">qui gignit; </w:t>
      </w:r>
      <w:r w:rsidRPr="009A6BD2">
        <w:rPr>
          <w:rFonts w:ascii="Times New Roman" w:hAnsi="Times New Roman" w:cs="Times"/>
        </w:rPr>
        <w:t>il exprime et personnifie la puissance génératrice </w:t>
      </w:r>
      <w:r w:rsidRPr="009A6BD2">
        <w:rPr>
          <w:rStyle w:val="Rimandonotaapidipagina"/>
          <w:rFonts w:ascii="Times New Roman" w:hAnsi="Times New Roman" w:cs="Times"/>
        </w:rPr>
        <w:footnoteReference w:id="659"/>
      </w:r>
      <w:r w:rsidRPr="009A6BD2">
        <w:rPr>
          <w:rFonts w:ascii="Times New Roman" w:hAnsi="Times New Roman" w:cs="Times"/>
        </w:rPr>
        <w:t>. Mais en même temps, c'est le protecteur, le directeur de l'individu particulier à la personne duquel il est attaché </w:t>
      </w:r>
      <w:r w:rsidRPr="009A6BD2">
        <w:rPr>
          <w:rStyle w:val="Rimandonotaapidipagina"/>
          <w:rFonts w:ascii="Times New Roman" w:hAnsi="Times New Roman" w:cs="Times"/>
        </w:rPr>
        <w:footnoteReference w:id="660"/>
      </w:r>
      <w:r w:rsidRPr="009A6BD2">
        <w:rPr>
          <w:rFonts w:ascii="Times New Roman" w:hAnsi="Times New Roman" w:cs="Times"/>
        </w:rPr>
        <w:t>. Enf</w:t>
      </w:r>
      <w:r w:rsidRPr="009A6BD2">
        <w:rPr>
          <w:rFonts w:ascii="Times New Roman" w:hAnsi="Times New Roman" w:cs="Times"/>
        </w:rPr>
        <w:t>in, il se confond avec la personnalité même de cet individu; il représente l'ensemble des penchants et des tendances qui le caractérisent et lui font une physionomie distinctive au milieu des autres hommes </w:t>
      </w:r>
      <w:r w:rsidRPr="009A6BD2">
        <w:rPr>
          <w:rStyle w:val="Rimandonotaapidipagina"/>
          <w:rFonts w:ascii="Times New Roman" w:hAnsi="Times New Roman" w:cs="Times"/>
        </w:rPr>
        <w:footnoteReference w:id="661"/>
      </w:r>
      <w:r w:rsidRPr="009A6BD2">
        <w:rPr>
          <w:rFonts w:ascii="Times New Roman" w:hAnsi="Times New Roman" w:cs="Times"/>
        </w:rPr>
        <w:t>. C'est de là que viennent les expressions connue</w:t>
      </w:r>
      <w:r w:rsidRPr="009A6BD2">
        <w:rPr>
          <w:rFonts w:ascii="Times New Roman" w:hAnsi="Times New Roman" w:cs="Times"/>
        </w:rPr>
        <w:t xml:space="preserve">s </w:t>
      </w:r>
      <w:r w:rsidRPr="009A6BD2">
        <w:rPr>
          <w:rFonts w:ascii="Times New Roman" w:hAnsi="Times New Roman" w:cs="Times"/>
          <w:i/>
          <w:iCs/>
        </w:rPr>
        <w:t xml:space="preserve">indulgere genio, defraudare genium </w:t>
      </w:r>
      <w:r w:rsidRPr="009A6BD2">
        <w:rPr>
          <w:rFonts w:ascii="Times New Roman" w:hAnsi="Times New Roman" w:cs="Times"/>
        </w:rPr>
        <w:t xml:space="preserve">avec le sens de </w:t>
      </w:r>
      <w:r w:rsidRPr="009A6BD2">
        <w:rPr>
          <w:rFonts w:ascii="Times New Roman" w:hAnsi="Times New Roman" w:cs="Times"/>
          <w:i/>
          <w:iCs/>
        </w:rPr>
        <w:t xml:space="preserve">suivre son tempérament naturel. </w:t>
      </w:r>
      <w:r w:rsidRPr="009A6BD2">
        <w:rPr>
          <w:rFonts w:ascii="Times New Roman" w:hAnsi="Times New Roman" w:cs="Times"/>
        </w:rPr>
        <w:t xml:space="preserve">Au fond, le </w:t>
      </w:r>
      <w:r w:rsidRPr="009A6BD2">
        <w:rPr>
          <w:rFonts w:ascii="Times New Roman" w:hAnsi="Times New Roman" w:cs="Times"/>
          <w:i/>
          <w:iCs/>
        </w:rPr>
        <w:t xml:space="preserve">genius </w:t>
      </w:r>
      <w:r w:rsidRPr="009A6BD2">
        <w:rPr>
          <w:rFonts w:ascii="Times New Roman" w:hAnsi="Times New Roman" w:cs="Times"/>
        </w:rPr>
        <w:t xml:space="preserve">est une autre forme, un double de l'âme même de l'individu. C'est ce que prouve la synonymie partielle de </w:t>
      </w:r>
      <w:r w:rsidRPr="009A6BD2">
        <w:rPr>
          <w:rFonts w:ascii="Times New Roman" w:hAnsi="Times New Roman" w:cs="Times"/>
          <w:i/>
          <w:iCs/>
        </w:rPr>
        <w:t xml:space="preserve">genius </w:t>
      </w:r>
      <w:r w:rsidRPr="009A6BD2">
        <w:rPr>
          <w:rFonts w:ascii="Times New Roman" w:hAnsi="Times New Roman" w:cs="Times"/>
        </w:rPr>
        <w:t xml:space="preserve">et de </w:t>
      </w:r>
      <w:r w:rsidRPr="009A6BD2">
        <w:rPr>
          <w:rFonts w:ascii="Times New Roman" w:hAnsi="Times New Roman" w:cs="Times"/>
          <w:i/>
          <w:iCs/>
        </w:rPr>
        <w:t>manes</w:t>
      </w:r>
      <w:r w:rsidRPr="009A6BD2">
        <w:rPr>
          <w:rFonts w:ascii="Times New Roman" w:hAnsi="Times New Roman" w:cs="Times"/>
        </w:rPr>
        <w:t> </w:t>
      </w:r>
      <w:r w:rsidRPr="009A6BD2">
        <w:rPr>
          <w:rStyle w:val="Rimandonotaapidipagina"/>
          <w:rFonts w:ascii="Times New Roman" w:hAnsi="Times New Roman" w:cs="Times"/>
        </w:rPr>
        <w:footnoteReference w:id="662"/>
      </w:r>
      <w:r w:rsidRPr="009A6BD2">
        <w:rPr>
          <w:rFonts w:ascii="Times New Roman" w:hAnsi="Times New Roman" w:cs="Times"/>
          <w:i/>
          <w:iCs/>
        </w:rPr>
        <w:t xml:space="preserve">. </w:t>
      </w:r>
      <w:r w:rsidRPr="009A6BD2">
        <w:rPr>
          <w:rFonts w:ascii="Times New Roman" w:hAnsi="Times New Roman" w:cs="Times"/>
        </w:rPr>
        <w:t xml:space="preserve">Les mânes, c'est le </w:t>
      </w:r>
      <w:r w:rsidRPr="009A6BD2">
        <w:rPr>
          <w:rFonts w:ascii="Times New Roman" w:hAnsi="Times New Roman" w:cs="Times"/>
          <w:i/>
          <w:iCs/>
        </w:rPr>
        <w:t>geni</w:t>
      </w:r>
      <w:r w:rsidRPr="009A6BD2">
        <w:rPr>
          <w:rFonts w:ascii="Times New Roman" w:hAnsi="Times New Roman" w:cs="Times"/>
          <w:i/>
          <w:iCs/>
        </w:rPr>
        <w:t xml:space="preserve">us </w:t>
      </w:r>
      <w:r w:rsidRPr="009A6BD2">
        <w:rPr>
          <w:rFonts w:ascii="Times New Roman" w:hAnsi="Times New Roman" w:cs="Times"/>
        </w:rPr>
        <w:t xml:space="preserve">après la mort ; mais c'est aussi ce qui survit du défunt, c'est-à-dire son âme. De la même manière, l'âme de l'Arunta et l'esprit ancestral qui lui sert de </w:t>
      </w:r>
      <w:r w:rsidRPr="009A6BD2">
        <w:rPr>
          <w:rFonts w:ascii="Times New Roman" w:hAnsi="Times New Roman" w:cs="Times"/>
          <w:i/>
          <w:iCs/>
        </w:rPr>
        <w:t xml:space="preserve">genius </w:t>
      </w:r>
      <w:r w:rsidRPr="009A6BD2">
        <w:rPr>
          <w:rFonts w:ascii="Times New Roman" w:hAnsi="Times New Roman" w:cs="Times"/>
        </w:rPr>
        <w:t>ne sont que deux aspects différents d'un seul et même être.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ce n'est pas seulement p</w:t>
      </w:r>
      <w:r w:rsidRPr="009A6BD2">
        <w:rPr>
          <w:rFonts w:ascii="Times New Roman" w:hAnsi="Times New Roman" w:cs="Times"/>
        </w:rPr>
        <w:t>ar rapport aux personnes que l'ancêtre est situé d'une manière définie ; c'est aussi par rapport aux choses. Bien qu'il soit censé avoir sous terre son véritable habitat, on croit qu'il hante sans cesse l'endroit où se trouve l'arbre ou le rocher nanja, le</w:t>
      </w:r>
      <w:r w:rsidRPr="009A6BD2">
        <w:rPr>
          <w:rFonts w:ascii="Times New Roman" w:hAnsi="Times New Roman" w:cs="Times"/>
        </w:rPr>
        <w:t xml:space="preserve"> trou d'eau qui S'est formé spontanément au point précis où il a disparu dans le sol, après avoir terminé sa première existence. Comme cet arbre ou ce rocher passe pour représenter le corps du héros, on imagine que son âme elle-même y revient sans cesse et</w:t>
      </w:r>
      <w:r w:rsidRPr="009A6BD2">
        <w:rPr>
          <w:rFonts w:ascii="Times New Roman" w:hAnsi="Times New Roman" w:cs="Times"/>
        </w:rPr>
        <w:t xml:space="preserve"> y habite à titre plus ou moins permanent ; c'est par la présence de cette âme qu'on explique le respect religieux que ces endroits inspirent. Nul ne peut casser une branche de l'arbre naja sans s'exposer à tomber malade </w:t>
      </w:r>
      <w:r w:rsidRPr="009A6BD2">
        <w:rPr>
          <w:rStyle w:val="Rimandonotaapidipagina"/>
          <w:rFonts w:ascii="Times New Roman" w:hAnsi="Times New Roman" w:cs="Times"/>
        </w:rPr>
        <w:footnoteReference w:id="663"/>
      </w:r>
      <w:r w:rsidRPr="009A6BD2">
        <w:rPr>
          <w:rFonts w:ascii="Times New Roman" w:hAnsi="Times New Roman" w:cs="Times"/>
        </w:rPr>
        <w:t>. « Autrefois, le fait de l'abattr</w:t>
      </w:r>
      <w:r w:rsidRPr="009A6BD2">
        <w:rPr>
          <w:rFonts w:ascii="Times New Roman" w:hAnsi="Times New Roman" w:cs="Times"/>
        </w:rPr>
        <w:t xml:space="preserve">e ou de le dégrader était puni de mort. Un animal ou un oiseau qui s'y réfugie ne doit pas être tué. Même les bosquets environnants doivent être respectés : le gazon ne doit pas être brûlé. Les rochers, eux aussi, doivent être traités avec respect. Il est </w:t>
      </w:r>
      <w:r w:rsidRPr="009A6BD2">
        <w:rPr>
          <w:rFonts w:ascii="Times New Roman" w:hAnsi="Times New Roman" w:cs="Times"/>
        </w:rPr>
        <w:t>interdit de les déplacer et de les briser </w:t>
      </w:r>
      <w:r w:rsidRPr="009A6BD2">
        <w:rPr>
          <w:rStyle w:val="Rimandonotaapidipagina"/>
          <w:rFonts w:ascii="Times New Roman" w:hAnsi="Times New Roman" w:cs="Times"/>
        </w:rPr>
        <w:footnoteReference w:id="664"/>
      </w:r>
      <w:r w:rsidRPr="009A6BD2">
        <w:rPr>
          <w:rFonts w:ascii="Times New Roman" w:hAnsi="Times New Roman" w:cs="Times"/>
        </w:rPr>
        <w:t>. » Comme ce caractère sacré est attribué à l'ancêtre, celui-ci apparaît comme l'esprit de cet arbre, de ce rocher, de ce trou d'eau, de cette source </w:t>
      </w:r>
      <w:r w:rsidRPr="009A6BD2">
        <w:rPr>
          <w:rStyle w:val="Rimandonotaapidipagina"/>
          <w:rFonts w:ascii="Times New Roman" w:hAnsi="Times New Roman" w:cs="Times"/>
        </w:rPr>
        <w:footnoteReference w:id="665"/>
      </w:r>
      <w:r w:rsidRPr="009A6BD2">
        <w:rPr>
          <w:rFonts w:ascii="Times New Roman" w:hAnsi="Times New Roman" w:cs="Times"/>
        </w:rPr>
        <w:t>. Que la source soit considérée comme soutenant quelques rappo</w:t>
      </w:r>
      <w:r w:rsidRPr="009A6BD2">
        <w:rPr>
          <w:rFonts w:ascii="Times New Roman" w:hAnsi="Times New Roman" w:cs="Times"/>
        </w:rPr>
        <w:t>rts avec la pluie </w:t>
      </w:r>
      <w:r w:rsidRPr="009A6BD2">
        <w:rPr>
          <w:rStyle w:val="Rimandonotaapidipagina"/>
          <w:rFonts w:ascii="Times New Roman" w:hAnsi="Times New Roman" w:cs="Times"/>
        </w:rPr>
        <w:footnoteReference w:id="666"/>
      </w:r>
      <w:r w:rsidRPr="009A6BD2">
        <w:rPr>
          <w:rFonts w:ascii="Times New Roman" w:hAnsi="Times New Roman" w:cs="Times"/>
        </w:rPr>
        <w:t>, et il deviendra un esprit de la pluie. Ainsi, ces mêmes âmes qui, par un côté, servent de génies protecteurs aux hommes, remplissent en même temps des fonctions cosmiques. C'est sans doute en ce sens qu'il faut entendre un texte de Rot</w:t>
      </w:r>
      <w:r w:rsidRPr="009A6BD2">
        <w:rPr>
          <w:rFonts w:ascii="Times New Roman" w:hAnsi="Times New Roman" w:cs="Times"/>
        </w:rPr>
        <w:t>h d'après lequel, dans le Queensland septentrional, les esprits de la nature seraient des âmes de décédés, qui auraient élu domicile dans les forets on dans les cavernes </w:t>
      </w:r>
      <w:r w:rsidRPr="009A6BD2">
        <w:rPr>
          <w:rStyle w:val="Rimandonotaapidipagina"/>
          <w:rFonts w:ascii="Times New Roman" w:hAnsi="Times New Roman" w:cs="Times"/>
        </w:rPr>
        <w:footnoteReference w:id="66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Voilà donc, cette fois, des êtres spirituels qui sont autre chose que des âmes err</w:t>
      </w:r>
      <w:r w:rsidRPr="009A6BD2">
        <w:rPr>
          <w:rFonts w:ascii="Times New Roman" w:hAnsi="Times New Roman" w:cs="Times"/>
        </w:rPr>
        <w:t>antes et sans efficacité définie. Strehlow les appelle des dieux </w:t>
      </w:r>
      <w:r w:rsidRPr="009A6BD2">
        <w:rPr>
          <w:rStyle w:val="Rimandonotaapidipagina"/>
          <w:rFonts w:ascii="Times New Roman" w:hAnsi="Times New Roman" w:cs="Times"/>
        </w:rPr>
        <w:footnoteReference w:id="668"/>
      </w:r>
      <w:r w:rsidRPr="009A6BD2">
        <w:rPr>
          <w:rFonts w:ascii="Times New Roman" w:hAnsi="Times New Roman" w:cs="Times"/>
        </w:rPr>
        <w:t>; mais l'expression est impropre, au moins dans la très grande généralité des cas. En effet, dans une société comme celle des Arunta, où chacun a son ancêtre protecteur, il y aurait autant o</w:t>
      </w:r>
      <w:r w:rsidRPr="009A6BD2">
        <w:rPr>
          <w:rFonts w:ascii="Times New Roman" w:hAnsi="Times New Roman" w:cs="Times"/>
        </w:rPr>
        <w:t>u plus de dieux qu'il n'y a d'individus. Ce serait introduire de la confusion dans la terminologie que de donner le nom de dieu à un être sacré qui n'a qu'un fidèle. Il peut se faire, il est vrai, que la figure de l'ancê</w:t>
      </w:r>
      <w:r w:rsidRPr="009A6BD2">
        <w:rPr>
          <w:rFonts w:ascii="Times New Roman" w:hAnsi="Times New Roman" w:cs="Times"/>
        </w:rPr>
        <w:softHyphen/>
        <w:t xml:space="preserve">tre grandisse au point de rappeler </w:t>
      </w:r>
      <w:r w:rsidRPr="009A6BD2">
        <w:rPr>
          <w:rFonts w:ascii="Times New Roman" w:hAnsi="Times New Roman" w:cs="Times"/>
        </w:rPr>
        <w:t>celle d'une divinité proprement dite. Chez les Warramunga, comme nous l'avons dit </w:t>
      </w:r>
      <w:r w:rsidRPr="009A6BD2">
        <w:rPr>
          <w:rStyle w:val="Rimandonotaapidipagina"/>
          <w:rFonts w:ascii="Times New Roman" w:hAnsi="Times New Roman" w:cs="Times"/>
        </w:rPr>
        <w:footnoteReference w:id="669"/>
      </w:r>
      <w:r w:rsidRPr="009A6BD2">
        <w:rPr>
          <w:rFonts w:ascii="Times New Roman" w:hAnsi="Times New Roman" w:cs="Times"/>
        </w:rPr>
        <w:t>, le clan tout entier est censé descendu d'un seul et unique ancêtre. On s'explique aisé</w:t>
      </w:r>
      <w:r w:rsidRPr="009A6BD2">
        <w:rPr>
          <w:rFonts w:ascii="Times New Roman" w:hAnsi="Times New Roman" w:cs="Times"/>
        </w:rPr>
        <w:softHyphen/>
        <w:t>ment que, dans de certaines conditions, cet ancêtre collectif ait pu devenir l'objet</w:t>
      </w:r>
      <w:r w:rsidRPr="009A6BD2">
        <w:rPr>
          <w:rFonts w:ascii="Times New Roman" w:hAnsi="Times New Roman" w:cs="Times"/>
        </w:rPr>
        <w:t xml:space="preserve"> d'une dévotion collective. C'est ce qui est arrivé notamment au serpent Wollunqua </w:t>
      </w:r>
      <w:r w:rsidRPr="009A6BD2">
        <w:rPr>
          <w:rStyle w:val="Rimandonotaapidipagina"/>
          <w:rFonts w:ascii="Times New Roman" w:hAnsi="Times New Roman" w:cs="Times"/>
        </w:rPr>
        <w:footnoteReference w:id="670"/>
      </w:r>
      <w:r w:rsidRPr="009A6BD2">
        <w:rPr>
          <w:rFonts w:ascii="Times New Roman" w:hAnsi="Times New Roman" w:cs="Times"/>
        </w:rPr>
        <w:t>. Cette bête mythique, dont le clan du même nom passe pour être issu, continue, croit-on, à vivre dans un trou d'eau qu'entoure un respect religieux. Aussi est-elle l'objet</w:t>
      </w:r>
      <w:r w:rsidRPr="009A6BD2">
        <w:rPr>
          <w:rFonts w:ascii="Times New Roman" w:hAnsi="Times New Roman" w:cs="Times"/>
        </w:rPr>
        <w:t xml:space="preserve"> d'un culte que le clan célèbre collectivement : par des rites déterminés, on s'efforce de lui plaire, de se concilier ses faveurs, on lui adresse des sortes de prières, etc. On peut donc dire qu'elle est comme le dieu du clan. Mais c'est un cas très excep</w:t>
      </w:r>
      <w:r w:rsidRPr="009A6BD2">
        <w:rPr>
          <w:rFonts w:ascii="Times New Roman" w:hAnsi="Times New Roman" w:cs="Times"/>
        </w:rPr>
        <w:t>tionnel, unique même suivant Spencer et Gillen. Normalement, l'expression d'esprits est la seule qui convienne pour désigner ces personnages ancestraux.</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Quant à la manière dont s'est formée cette conception, elle ressort de tout ce qui précède.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Comme nou</w:t>
      </w:r>
      <w:r w:rsidRPr="009A6BD2">
        <w:rPr>
          <w:rFonts w:ascii="Times New Roman" w:hAnsi="Times New Roman" w:cs="Times"/>
        </w:rPr>
        <w:t>s l'avons montré, l'existence d'âmes individuelles, une fois admise, ne se pouvait comprendre si l'on n'imaginait, au principe des choses, un fond originel d'âmes fonda</w:t>
      </w:r>
      <w:r w:rsidRPr="009A6BD2">
        <w:rPr>
          <w:rFonts w:ascii="Times New Roman" w:hAnsi="Times New Roman" w:cs="Times"/>
        </w:rPr>
        <w:softHyphen/>
        <w:t>mentales dont toutes les autres fussent dérivées. Or ces âmes archétypes devaient néces</w:t>
      </w:r>
      <w:r w:rsidRPr="009A6BD2">
        <w:rPr>
          <w:rFonts w:ascii="Times New Roman" w:hAnsi="Times New Roman" w:cs="Times"/>
        </w:rPr>
        <w:t>sairement être conçues comme contenant en elles la source de toute efficacité religieu</w:t>
      </w:r>
      <w:r w:rsidRPr="009A6BD2">
        <w:rPr>
          <w:rFonts w:ascii="Times New Roman" w:hAnsi="Times New Roman" w:cs="Times"/>
        </w:rPr>
        <w:softHyphen/>
        <w:t>se; car, comme l'imagination ne remonte pas au delà, c'est d'elles et d'elles seules que sont censées provenir toutes les choses sacrées, les instruments du culte, les m</w:t>
      </w:r>
      <w:r w:rsidRPr="009A6BD2">
        <w:rPr>
          <w:rFonts w:ascii="Times New Roman" w:hAnsi="Times New Roman" w:cs="Times"/>
        </w:rPr>
        <w:t>embres du clan, les animaux de l'espèce totémique. Elles incarnent toute la religiosité diffuse dans la tribu et dans le monde, et voilà pourquoi on leur attribue des pouvoirs sensiblement supérieurs à ceux dont jouissent de simples âmes d'hommes. D'ailleu</w:t>
      </w:r>
      <w:r w:rsidRPr="009A6BD2">
        <w:rPr>
          <w:rFonts w:ascii="Times New Roman" w:hAnsi="Times New Roman" w:cs="Times"/>
        </w:rPr>
        <w:t>rs, le temps, à lui seul, accroît et renforce le caractère sacré des choses. Un churinga très ancien inspire beaucoup plus de respect qu'un churinga récent et on lui suppose plus de vertus </w:t>
      </w:r>
      <w:r w:rsidRPr="009A6BD2">
        <w:rPr>
          <w:rStyle w:val="Rimandonotaapidipagina"/>
          <w:rFonts w:ascii="Times New Roman" w:hAnsi="Times New Roman" w:cs="Times"/>
        </w:rPr>
        <w:footnoteReference w:id="671"/>
      </w:r>
      <w:r w:rsidRPr="009A6BD2">
        <w:rPr>
          <w:rFonts w:ascii="Times New Roman" w:hAnsi="Times New Roman" w:cs="Times"/>
        </w:rPr>
        <w:t>. Les sentiments de vénération dont il a été l'objet pendant la sé</w:t>
      </w:r>
      <w:r w:rsidRPr="009A6BD2">
        <w:rPr>
          <w:rFonts w:ascii="Times New Roman" w:hAnsi="Times New Roman" w:cs="Times"/>
        </w:rPr>
        <w:t>rie des générations successives qui l'ont manié se sont comme accumulés en lui. Pour la même raison, des personnages qui, depuis des siècles, sont l'objet de mythes qui se transmettent respectueusement de bouche en bouche et que les rites mettent période</w:t>
      </w:r>
      <w:r w:rsidRPr="009A6BD2">
        <w:rPr>
          <w:rFonts w:ascii="Times New Roman" w:hAnsi="Times New Roman" w:cs="Times"/>
        </w:rPr>
        <w:softHyphen/>
        <w:t>q</w:t>
      </w:r>
      <w:r w:rsidRPr="009A6BD2">
        <w:rPr>
          <w:rFonts w:ascii="Times New Roman" w:hAnsi="Times New Roman" w:cs="Times"/>
        </w:rPr>
        <w:t>uement en action, ne pouvaient manquer de prendre, dans l'imagination populaire, une place tout à fait à part.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Mais comment se fait-il que, au lieu de rester en dehors des cadres de la société, ils en soient devenus membres réguliers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que chaque i</w:t>
      </w:r>
      <w:r w:rsidRPr="009A6BD2">
        <w:rPr>
          <w:rFonts w:ascii="Times New Roman" w:hAnsi="Times New Roman" w:cs="Times"/>
        </w:rPr>
        <w:t>ndividu est le double d'un ancêtre. Or, quand deux êtres sont à ce point parents, ils sont naturellement conçus comme solidaires; puisqu'ils participent d'une même nature, ce qui affecte l'un doit, semble-t-il, affecter nécessairement l'autre. La troupe de</w:t>
      </w:r>
      <w:r w:rsidRPr="009A6BD2">
        <w:rPr>
          <w:rFonts w:ascii="Times New Roman" w:hAnsi="Times New Roman" w:cs="Times"/>
        </w:rPr>
        <w:t>s ancêtres mythiques se trouva ainsi rattachée par un lien moral à la société des vivants; on prêta aux uns et aux autres les mêmes intérêts et les mêmes passions ; on vit en eux des associés. Seulement, comme les premiers avaient une dignité plus haute qu</w:t>
      </w:r>
      <w:r w:rsidRPr="009A6BD2">
        <w:rPr>
          <w:rFonts w:ascii="Times New Roman" w:hAnsi="Times New Roman" w:cs="Times"/>
        </w:rPr>
        <w:t xml:space="preserve">e les seconds, cette association prit, dans l'esprit publie, la forme d'un rapport entre supérieurs </w:t>
      </w:r>
      <w:r w:rsidRPr="009A6BD2">
        <w:rPr>
          <w:rFonts w:ascii="Times New Roman" w:hAnsi="Times New Roman" w:cs="Times"/>
          <w:i/>
          <w:iCs/>
        </w:rPr>
        <w:t xml:space="preserve">et </w:t>
      </w:r>
      <w:r w:rsidRPr="009A6BD2">
        <w:rPr>
          <w:rFonts w:ascii="Times New Roman" w:hAnsi="Times New Roman" w:cs="Times"/>
        </w:rPr>
        <w:t xml:space="preserve">inférieurs, entre patrons et clients, entre bienfaiteurs et assistés. C'est ainsi que prit naissance cette curieuse notion du génie tutélaire, attaché à </w:t>
      </w:r>
      <w:r w:rsidRPr="009A6BD2">
        <w:rPr>
          <w:rFonts w:ascii="Times New Roman" w:hAnsi="Times New Roman" w:cs="Times"/>
        </w:rPr>
        <w:t>chaque individu,</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La question de savoir comment l'ancêtre fut mis en rapports non seulement avec les hommes, mais aussi avec les choses, peut paraître plus embarrassante ; car on ne voit pas, au premier abord, quelle relation il peut y avoir entre un perso</w:t>
      </w:r>
      <w:r w:rsidRPr="009A6BD2">
        <w:rPr>
          <w:rFonts w:ascii="Times New Roman" w:hAnsi="Times New Roman" w:cs="Times"/>
        </w:rPr>
        <w:t>nnage de ce genre et un arbre ou un rocher, Mais un renseignement que nous devons à Strehlow nous fournit de ce problème une solution pour le moins vraisemblable.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arbres et ces rochers ne sont pas situés sur des points quelconques du territoire tribal</w:t>
      </w:r>
      <w:r w:rsidRPr="009A6BD2">
        <w:rPr>
          <w:rFonts w:ascii="Times New Roman" w:hAnsi="Times New Roman" w:cs="Times"/>
        </w:rPr>
        <w:t xml:space="preserve">, mais ils sont principalement massés autour de ces sanctuaires, appelés ertnatulunga d'après Spencer et Gillen, arknanaua d'après Strehlow, </w:t>
      </w:r>
      <w:r w:rsidRPr="009A6BD2">
        <w:rPr>
          <w:rFonts w:ascii="Times New Roman" w:hAnsi="Times New Roman" w:cs="Times"/>
          <w:i/>
          <w:iCs/>
        </w:rPr>
        <w:t xml:space="preserve">oh </w:t>
      </w:r>
      <w:r w:rsidRPr="009A6BD2">
        <w:rPr>
          <w:rFonts w:ascii="Times New Roman" w:hAnsi="Times New Roman" w:cs="Times"/>
        </w:rPr>
        <w:t>sont déposés les churinga du clan </w:t>
      </w:r>
      <w:r w:rsidRPr="009A6BD2">
        <w:rPr>
          <w:rStyle w:val="Rimandonotaapidipagina"/>
          <w:rFonts w:ascii="Times New Roman" w:hAnsi="Times New Roman" w:cs="Times"/>
        </w:rPr>
        <w:footnoteReference w:id="672"/>
      </w:r>
      <w:r w:rsidRPr="009A6BD2">
        <w:rPr>
          <w:rFonts w:ascii="Times New Roman" w:hAnsi="Times New Roman" w:cs="Times"/>
        </w:rPr>
        <w:t>. On sait de quel respect ces endroits sont entourés par cela seul que les pl</w:t>
      </w:r>
      <w:r w:rsidRPr="009A6BD2">
        <w:rPr>
          <w:rFonts w:ascii="Times New Roman" w:hAnsi="Times New Roman" w:cs="Times"/>
        </w:rPr>
        <w:t>us précieux instruments du culte y sont conservés. Aussi chacun d'eux rayonne-t-il de la sainteté tout autour de lui. C'est pour cette raison que les arbres, les rochers voisins apparaissent comme sacrés, qu'il est interdit de les détruire ou de les détéri</w:t>
      </w:r>
      <w:r w:rsidRPr="009A6BD2">
        <w:rPr>
          <w:rFonts w:ascii="Times New Roman" w:hAnsi="Times New Roman" w:cs="Times"/>
        </w:rPr>
        <w:t xml:space="preserve">orer, que toute violence exercée sur eux est sacrilège. Ce caractère sacré est dû, en réalité, à un simple phénomène de contagion psychique mais l'indigène, pour s'en rendre compte, est obligé d'admettre que ces différents objets sont en rapports avec les </w:t>
      </w:r>
      <w:r w:rsidRPr="009A6BD2">
        <w:rPr>
          <w:rFonts w:ascii="Times New Roman" w:hAnsi="Times New Roman" w:cs="Times"/>
        </w:rPr>
        <w:t xml:space="preserve">êtres dans lesquels il voit la source de tout pouvoir religieux, c'est-à-dire avec les ancêtres de l'Alcheringa, De là vint le système de mythes que nous avons rapporté. On imagina que chaque ertnatulunga marquait le lieu </w:t>
      </w:r>
      <w:r w:rsidRPr="009A6BD2">
        <w:rPr>
          <w:rFonts w:ascii="Times New Roman" w:hAnsi="Times New Roman" w:cs="Times"/>
          <w:i/>
          <w:iCs/>
        </w:rPr>
        <w:t xml:space="preserve">oh </w:t>
      </w:r>
      <w:r w:rsidRPr="009A6BD2">
        <w:rPr>
          <w:rFonts w:ascii="Times New Roman" w:hAnsi="Times New Roman" w:cs="Times"/>
        </w:rPr>
        <w:t>un groupe d'ancêtres s'était ab</w:t>
      </w:r>
      <w:r w:rsidRPr="009A6BD2">
        <w:rPr>
          <w:rFonts w:ascii="Times New Roman" w:hAnsi="Times New Roman" w:cs="Times"/>
        </w:rPr>
        <w:t>îmé sous terre, Les tumulus, les arbres qui recouvraient le sol furent censés représenter leurs corps. Mais, comme l'âme, d'une manière générale, garde Une sorte d'affinité pour le corps où elle a vécu, on fut naturellement amené à croire que ces âmes ance</w:t>
      </w:r>
      <w:r w:rsidRPr="009A6BD2">
        <w:rPr>
          <w:rFonts w:ascii="Times New Roman" w:hAnsi="Times New Roman" w:cs="Times"/>
        </w:rPr>
        <w:t>strales continuaient à fréquenter, de préférence, ces emplacements où leur enveloppe matérielle subsistait. On les situa donc dans ces arbres, dans ces rochers, dans ces trous d'eau. C'est ainsi que chacune d'elles, tout en restant attachée à la garde d'un</w:t>
      </w:r>
      <w:r w:rsidRPr="009A6BD2">
        <w:rPr>
          <w:rFonts w:ascii="Times New Roman" w:hAnsi="Times New Roman" w:cs="Times"/>
        </w:rPr>
        <w:t xml:space="preserve"> individu déterminé, se trouva transformée en une sorte de </w:t>
      </w:r>
      <w:r w:rsidRPr="009A6BD2">
        <w:rPr>
          <w:rFonts w:ascii="Times New Roman" w:hAnsi="Times New Roman" w:cs="Times"/>
          <w:i/>
          <w:iCs/>
        </w:rPr>
        <w:t>genius loci</w:t>
      </w:r>
      <w:r w:rsidRPr="009A6BD2">
        <w:rPr>
          <w:rFonts w:ascii="Times New Roman" w:hAnsi="Times New Roman" w:cs="Times"/>
        </w:rPr>
        <w:t xml:space="preserve"> et en remplit la fonction </w:t>
      </w:r>
      <w:r w:rsidRPr="009A6BD2">
        <w:rPr>
          <w:rStyle w:val="Rimandonotaapidipagina"/>
          <w:rFonts w:ascii="Times New Roman" w:hAnsi="Times New Roman" w:cs="Times"/>
        </w:rPr>
        <w:footnoteReference w:id="67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conceptions, ainsi élucidées, nous mettent en mesure de comprendre une forme de totémisme que nous avons dû, jusqu'à présent, laisser inexpliquée : c</w:t>
      </w:r>
      <w:r w:rsidRPr="009A6BD2">
        <w:rPr>
          <w:rFonts w:ascii="Times New Roman" w:hAnsi="Times New Roman" w:cs="Times"/>
        </w:rPr>
        <w:t>'est le totémisme indivi</w:t>
      </w:r>
      <w:r w:rsidRPr="009A6BD2">
        <w:rPr>
          <w:rFonts w:ascii="Times New Roman" w:hAnsi="Times New Roman" w:cs="Times"/>
        </w:rPr>
        <w:softHyphen/>
        <w:t>duel.</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 totem individuel se définit essentiellement par les deux caractères suivants : 1º c'est un être à forme animale ou végétale, qui a pour fonction de protéger un individu; 2º le sort de cet individu et celui de son patron s</w:t>
      </w:r>
      <w:r w:rsidRPr="009A6BD2">
        <w:rPr>
          <w:rFonts w:ascii="Times New Roman" w:hAnsi="Times New Roman" w:cs="Times"/>
        </w:rPr>
        <w:t>ont étroitement liés : tout ce qui atteint le second se communique sympathiquement au premier. Or les esprits ancestraux dont il vient d'être question répondent à la même définition. Eux aussi ressortissent, au moins en partie, au règne ani</w:t>
      </w:r>
      <w:r w:rsidRPr="009A6BD2">
        <w:rPr>
          <w:rFonts w:ascii="Times New Roman" w:hAnsi="Times New Roman" w:cs="Times"/>
        </w:rPr>
        <w:softHyphen/>
        <w:t>mal ou végétal.</w:t>
      </w:r>
      <w:r w:rsidRPr="009A6BD2">
        <w:rPr>
          <w:rFonts w:ascii="Times New Roman" w:hAnsi="Times New Roman" w:cs="Times"/>
        </w:rPr>
        <w:t xml:space="preserve"> Eux aussi sont des génies tutélaires. Enfin un lien sympathique unit cha</w:t>
      </w:r>
      <w:r w:rsidRPr="009A6BD2">
        <w:rPr>
          <w:rFonts w:ascii="Times New Roman" w:hAnsi="Times New Roman" w:cs="Times"/>
        </w:rPr>
        <w:softHyphen/>
        <w:t xml:space="preserve">que individu à son ancêtre protecteur. L'arbre nanja, corps mystique de cet ancêtre, ne peut, en effet, être détruit sans que l'homme se sente menacé. La croyance, il est vrai, perd </w:t>
      </w:r>
      <w:r w:rsidRPr="009A6BD2">
        <w:rPr>
          <w:rFonts w:ascii="Times New Roman" w:hAnsi="Times New Roman" w:cs="Times"/>
        </w:rPr>
        <w:t>aujourd'hui de la force. Cependant Spencer et Gillen l'ont encore observée et, en tout cas, ils estiment qu'autrefois elle était générale </w:t>
      </w:r>
      <w:r w:rsidRPr="009A6BD2">
        <w:rPr>
          <w:rStyle w:val="Rimandonotaapidipagina"/>
          <w:rFonts w:ascii="Times New Roman" w:hAnsi="Times New Roman" w:cs="Times"/>
        </w:rPr>
        <w:footnoteReference w:id="67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L'identité se retrouve jusque dans le détail des deux conceptions.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Les âmes ancestrales résident dans des arbres </w:t>
      </w:r>
      <w:r w:rsidRPr="009A6BD2">
        <w:rPr>
          <w:rFonts w:ascii="Times New Roman" w:hAnsi="Times New Roman" w:cs="Times"/>
        </w:rPr>
        <w:t>ou des rochers qui sont considérés comme sacrés. De même, chez les Euahlayi, l'esprit de l'animal qui sert de totem individuel est censé habiter dans un arbre ou dans une pierre </w:t>
      </w:r>
      <w:r w:rsidRPr="009A6BD2">
        <w:rPr>
          <w:rStyle w:val="Rimandonotaapidipagina"/>
          <w:rFonts w:ascii="Times New Roman" w:hAnsi="Times New Roman" w:cs="Times"/>
        </w:rPr>
        <w:footnoteReference w:id="675"/>
      </w:r>
      <w:r w:rsidRPr="009A6BD2">
        <w:rPr>
          <w:rFonts w:ascii="Times New Roman" w:hAnsi="Times New Roman" w:cs="Times"/>
        </w:rPr>
        <w:t>. Cet arbre ou cette pierre sont sacrés nul ne peut y toucher, sauf le propri</w:t>
      </w:r>
      <w:r w:rsidRPr="009A6BD2">
        <w:rPr>
          <w:rFonts w:ascii="Times New Roman" w:hAnsi="Times New Roman" w:cs="Times"/>
        </w:rPr>
        <w:t>étaire du totem et encore, quand c'est une pierre ou un rocher, l'interdiction est-elle absolue </w:t>
      </w:r>
      <w:r w:rsidRPr="009A6BD2">
        <w:rPr>
          <w:rStyle w:val="Rimandonotaapidipagina"/>
          <w:rFonts w:ascii="Times New Roman" w:hAnsi="Times New Roman" w:cs="Times"/>
        </w:rPr>
        <w:footnoteReference w:id="676"/>
      </w:r>
      <w:r w:rsidRPr="009A6BD2">
        <w:rPr>
          <w:rFonts w:ascii="Times New Roman" w:hAnsi="Times New Roman" w:cs="Times"/>
        </w:rPr>
        <w:t>. Il en résulte que ce sont de vrais lieux de refuge.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Enfin, nous avons vu que l'âme individuelle n'est qu'un autre aspect de l'esprit ancestral ; celui-ci, s</w:t>
      </w:r>
      <w:r w:rsidRPr="009A6BD2">
        <w:rPr>
          <w:rFonts w:ascii="Times New Roman" w:hAnsi="Times New Roman" w:cs="Times"/>
        </w:rPr>
        <w:t>uivant le mot de Stehlow, sert, en quelque sorte, de second moi </w:t>
      </w:r>
      <w:r w:rsidRPr="009A6BD2">
        <w:rPr>
          <w:rStyle w:val="Rimandonotaapidipagina"/>
          <w:rFonts w:ascii="Times New Roman" w:hAnsi="Times New Roman" w:cs="Times"/>
        </w:rPr>
        <w:footnoteReference w:id="677"/>
      </w:r>
      <w:r w:rsidRPr="009A6BD2">
        <w:rPr>
          <w:rFonts w:ascii="Times New Roman" w:hAnsi="Times New Roman" w:cs="Times"/>
        </w:rPr>
        <w:t xml:space="preserve">. De même, suivant une expression de Mrs. Parker, le totem individuel des Euhalayi, appelé (Yunbeai, est un </w:t>
      </w:r>
      <w:r w:rsidRPr="009A6BD2">
        <w:rPr>
          <w:rFonts w:ascii="Times New Roman" w:hAnsi="Times New Roman" w:cs="Times"/>
          <w:i/>
          <w:iCs/>
        </w:rPr>
        <w:t xml:space="preserve">alter ego </w:t>
      </w:r>
      <w:r w:rsidRPr="009A6BD2">
        <w:rPr>
          <w:rFonts w:ascii="Times New Roman" w:hAnsi="Times New Roman" w:cs="Times"/>
        </w:rPr>
        <w:t>de l'individu: « L'âme de l'homme est dans son Yunbeai et l'âme de son Yu</w:t>
      </w:r>
      <w:r w:rsidRPr="009A6BD2">
        <w:rPr>
          <w:rFonts w:ascii="Times New Roman" w:hAnsi="Times New Roman" w:cs="Times"/>
        </w:rPr>
        <w:t>nbeai est en lui </w:t>
      </w:r>
      <w:r w:rsidRPr="009A6BD2">
        <w:rPr>
          <w:rStyle w:val="Rimandonotaapidipagina"/>
          <w:rFonts w:ascii="Times New Roman" w:hAnsi="Times New Roman" w:cs="Times"/>
        </w:rPr>
        <w:footnoteReference w:id="678"/>
      </w:r>
      <w:r w:rsidRPr="009A6BD2">
        <w:rPr>
          <w:rFonts w:ascii="Times New Roman" w:hAnsi="Times New Roman" w:cs="Times"/>
        </w:rPr>
        <w:t xml:space="preserve"> ». C'est donc, au fond, une même âme en deux corps. La parenté de ces deux notions est si grande qu'elles sont parfois exprimées par un seul et même mot. C'est le cas en Mélanésie et en Polynésie : a</w:t>
      </w:r>
      <w:r w:rsidRPr="009A6BD2">
        <w:rPr>
          <w:rFonts w:ascii="Times New Roman" w:hAnsi="Times New Roman" w:cs="Times"/>
          <w:i/>
          <w:iCs/>
        </w:rPr>
        <w:t xml:space="preserve">tai à </w:t>
      </w:r>
      <w:r w:rsidRPr="009A6BD2">
        <w:rPr>
          <w:rFonts w:ascii="Times New Roman" w:hAnsi="Times New Roman" w:cs="Times"/>
        </w:rPr>
        <w:t xml:space="preserve">l'île Mota, </w:t>
      </w:r>
      <w:r w:rsidRPr="009A6BD2">
        <w:rPr>
          <w:rFonts w:ascii="Times New Roman" w:hAnsi="Times New Roman" w:cs="Times"/>
          <w:i/>
          <w:iCs/>
        </w:rPr>
        <w:t xml:space="preserve">tamaniu </w:t>
      </w:r>
      <w:r w:rsidRPr="009A6BD2">
        <w:rPr>
          <w:rFonts w:ascii="Times New Roman" w:hAnsi="Times New Roman" w:cs="Times"/>
        </w:rPr>
        <w:t>à l'île Auro</w:t>
      </w:r>
      <w:r w:rsidRPr="009A6BD2">
        <w:rPr>
          <w:rFonts w:ascii="Times New Roman" w:hAnsi="Times New Roman" w:cs="Times"/>
        </w:rPr>
        <w:t xml:space="preserve">re, </w:t>
      </w:r>
      <w:r w:rsidRPr="009A6BD2">
        <w:rPr>
          <w:rFonts w:ascii="Times New Roman" w:hAnsi="Times New Roman" w:cs="Times"/>
          <w:i/>
          <w:iCs/>
        </w:rPr>
        <w:t xml:space="preserve">talegia </w:t>
      </w:r>
      <w:r w:rsidRPr="009A6BD2">
        <w:rPr>
          <w:rFonts w:ascii="Times New Roman" w:hAnsi="Times New Roman" w:cs="Times"/>
        </w:rPr>
        <w:t>à Motlaw dési</w:t>
      </w:r>
      <w:r w:rsidRPr="009A6BD2">
        <w:rPr>
          <w:rFonts w:ascii="Times New Roman" w:hAnsi="Times New Roman" w:cs="Times"/>
        </w:rPr>
        <w:softHyphen/>
        <w:t>gnent à la fois l'âme d'un individu et son totem personnel </w:t>
      </w:r>
      <w:r w:rsidRPr="009A6BD2">
        <w:rPr>
          <w:rStyle w:val="Rimandonotaapidipagina"/>
          <w:rFonts w:ascii="Times New Roman" w:hAnsi="Times New Roman" w:cs="Times"/>
        </w:rPr>
        <w:footnoteReference w:id="679"/>
      </w:r>
      <w:r w:rsidRPr="009A6BD2">
        <w:rPr>
          <w:rFonts w:ascii="Times New Roman" w:hAnsi="Times New Roman" w:cs="Times"/>
        </w:rPr>
        <w:t xml:space="preserve">. Il en est de même de </w:t>
      </w:r>
      <w:r w:rsidRPr="009A6BD2">
        <w:rPr>
          <w:rFonts w:ascii="Times New Roman" w:hAnsi="Times New Roman" w:cs="Times"/>
          <w:i/>
          <w:iCs/>
        </w:rPr>
        <w:t xml:space="preserve">aitu </w:t>
      </w:r>
      <w:r w:rsidRPr="009A6BD2">
        <w:rPr>
          <w:rFonts w:ascii="Times New Roman" w:hAnsi="Times New Roman" w:cs="Times"/>
        </w:rPr>
        <w:t>à Samoa </w:t>
      </w:r>
      <w:r w:rsidRPr="009A6BD2">
        <w:rPr>
          <w:rStyle w:val="Rimandonotaapidipagina"/>
          <w:rFonts w:ascii="Times New Roman" w:hAnsi="Times New Roman" w:cs="Times"/>
        </w:rPr>
        <w:footnoteReference w:id="680"/>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C'est que le totem individuel n'est que la forme extérieure et visible du moi, de la personnalité dont l'âme est la forme invisibl</w:t>
      </w:r>
      <w:r w:rsidRPr="009A6BD2">
        <w:rPr>
          <w:rFonts w:ascii="Times New Roman" w:hAnsi="Times New Roman" w:cs="Times"/>
        </w:rPr>
        <w:t>e et intérieure </w:t>
      </w:r>
      <w:r w:rsidRPr="009A6BD2">
        <w:rPr>
          <w:rStyle w:val="Rimandonotaapidipagina"/>
          <w:rFonts w:ascii="Times New Roman" w:hAnsi="Times New Roman" w:cs="Times"/>
        </w:rPr>
        <w:footnoteReference w:id="68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Ainsi, le totem individuel a tous les caractères essentiels de l'ancêtre protecteur et il remplit le même rôle; c'est donc qu'il a la même origine et procède de la même idée.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L'un et l'autre, en effet, consistent dans un dédoublement d</w:t>
      </w:r>
      <w:r w:rsidRPr="009A6BD2">
        <w:rPr>
          <w:rFonts w:ascii="Times New Roman" w:hAnsi="Times New Roman" w:cs="Times"/>
        </w:rPr>
        <w:t>e l'âme. Le totem, comme l'ancêtre, c'est l'âme de l'individu, mais extériorisée et investie de pouvoirs supérieurs à ceux qu'elle est censée posséder à l'intérieur de l'organisme. Or, ce dédoublement est le produit d'une nécessité psychologique ; car il n</w:t>
      </w:r>
      <w:r w:rsidRPr="009A6BD2">
        <w:rPr>
          <w:rFonts w:ascii="Times New Roman" w:hAnsi="Times New Roman" w:cs="Times"/>
        </w:rPr>
        <w:t xml:space="preserve">e fait qu'exprimer la nature de l'âme qui, comme nous l'avons vu, est double. En un sens, elle est nôtre : elle exprime notre personnalité. Mais en même temps, elle est en dehors de nous puisqu'elle n'est que le prolongement en nous d'une force religieuse </w:t>
      </w:r>
      <w:r w:rsidRPr="009A6BD2">
        <w:rPr>
          <w:rFonts w:ascii="Times New Roman" w:hAnsi="Times New Roman" w:cs="Times"/>
        </w:rPr>
        <w:t>qui nous est extérieure. Nous ne pouvons pas nous confondre complètement avec elle, puisque nous lui attribuons une excellence et une dignité par où elle s'élève au-dessus de nous et de notre individualité empirique. Il y a ainsi toute une partie de nous-m</w:t>
      </w:r>
      <w:r w:rsidRPr="009A6BD2">
        <w:rPr>
          <w:rFonts w:ascii="Times New Roman" w:hAnsi="Times New Roman" w:cs="Times"/>
        </w:rPr>
        <w:t>êmes que nous tendons à projeter hors de nous. Cette façon de nous concevoir est si bien fondée dans notre nature que nous ne pouvons pas y échapper, alors même que nous tentons de nous penser sans recourir à aucun symbole religieux. Notre conscience moral</w:t>
      </w:r>
      <w:r w:rsidRPr="009A6BD2">
        <w:rPr>
          <w:rFonts w:ascii="Times New Roman" w:hAnsi="Times New Roman" w:cs="Times"/>
        </w:rPr>
        <w:t xml:space="preserve">e est comme le noyau autour duquel s'est formée la notion d'âme ; et pourtant, quand elle nous parle, elle nous fait l'effet d'une puissance extérieure et supérieure à nous, qui nous fait la loi et qui nous juge, mais qui nous aide aussi et nous soutient. </w:t>
      </w:r>
      <w:r w:rsidRPr="009A6BD2">
        <w:rPr>
          <w:rFonts w:ascii="Times New Roman" w:hAnsi="Times New Roman" w:cs="Times"/>
        </w:rPr>
        <w:t>Quand nous l'avons pour nous, nous nous sentons plus forts contre les épreuves de la vie, plus assurés d'en triompher, tout comme l'Australien, confiant dans son ancêtre ou son totem personnel, se sent plus vaillant contre ses ennemis </w:t>
      </w:r>
      <w:r w:rsidRPr="009A6BD2">
        <w:rPr>
          <w:rStyle w:val="Rimandonotaapidipagina"/>
          <w:rFonts w:ascii="Times New Roman" w:hAnsi="Times New Roman" w:cs="Times"/>
        </w:rPr>
        <w:footnoteReference w:id="682"/>
      </w:r>
      <w:r w:rsidRPr="009A6BD2">
        <w:rPr>
          <w:rFonts w:ascii="Times New Roman" w:hAnsi="Times New Roman" w:cs="Times"/>
        </w:rPr>
        <w:t>. Il y a donc quelqu</w:t>
      </w:r>
      <w:r w:rsidRPr="009A6BD2">
        <w:rPr>
          <w:rFonts w:ascii="Times New Roman" w:hAnsi="Times New Roman" w:cs="Times"/>
        </w:rPr>
        <w:t xml:space="preserve">e chose d'objectif à la base de ces différentes conceptions, qu'il s'agisse du </w:t>
      </w:r>
      <w:r w:rsidRPr="009A6BD2">
        <w:rPr>
          <w:rFonts w:ascii="Times New Roman" w:hAnsi="Times New Roman" w:cs="Times"/>
          <w:i/>
          <w:iCs/>
        </w:rPr>
        <w:t xml:space="preserve">genius </w:t>
      </w:r>
      <w:r w:rsidRPr="009A6BD2">
        <w:rPr>
          <w:rFonts w:ascii="Times New Roman" w:hAnsi="Times New Roman" w:cs="Times"/>
        </w:rPr>
        <w:t>romain, du totem individuel ou de l'ancêtre de l'Alcheringa ; et c'est pourquoi, sous des formes diverses, elles ont survécu jusqu'à nos jours. Tout se passe comme si nou</w:t>
      </w:r>
      <w:r w:rsidRPr="009A6BD2">
        <w:rPr>
          <w:rFonts w:ascii="Times New Roman" w:hAnsi="Times New Roman" w:cs="Times"/>
        </w:rPr>
        <w:t>s avions réellement deux âmes ; l'une, qui est en nous, ou plutôt qui est nous ; l'autre qui est au-dessus de nous, et dont la fonction est de contrôler et d'assister la première. Frazer avait bien le sentiment que, dans le totem individuel, il y avait une</w:t>
      </w:r>
      <w:r w:rsidRPr="009A6BD2">
        <w:rPr>
          <w:rFonts w:ascii="Times New Roman" w:hAnsi="Times New Roman" w:cs="Times"/>
        </w:rPr>
        <w:t xml:space="preserve"> âme extérieure ; mais il croyait que cette extériorité était le produit d'un artifice et d'une ruse magique. En réalité, elle est impliquée dans la constitution même de l'idée d'âme </w:t>
      </w:r>
      <w:r w:rsidRPr="009A6BD2">
        <w:rPr>
          <w:rStyle w:val="Rimandonotaapidipagina"/>
          <w:rFonts w:ascii="Times New Roman" w:hAnsi="Times New Roman" w:cs="Times"/>
        </w:rPr>
        <w:footnoteReference w:id="683"/>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pStyle w:val="section"/>
        <w:rPr>
          <w:rFonts w:ascii="Times New Roman" w:hAnsi="Times New Roman"/>
        </w:rPr>
      </w:pPr>
      <w:bookmarkStart w:id="53" w:name="livre_2_chap_9_2"/>
      <w:r w:rsidRPr="009A6BD2">
        <w:rPr>
          <w:rFonts w:ascii="Times New Roman" w:hAnsi="Times New Roman"/>
        </w:rPr>
        <w:t>II</w:t>
      </w:r>
    </w:p>
    <w:bookmarkEnd w:id="53"/>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Les esprits dont il vi</w:t>
      </w:r>
      <w:r w:rsidRPr="009A6BD2">
        <w:rPr>
          <w:rFonts w:ascii="Times New Roman" w:hAnsi="Times New Roman" w:cs="Times"/>
        </w:rPr>
        <w:t>ent d'être question sont essentiellement bienfaisants. Sans doute il leur arrive de sévir si l'homme ne se conduit pas avec eux comme il convient </w:t>
      </w:r>
      <w:r w:rsidRPr="009A6BD2">
        <w:rPr>
          <w:rStyle w:val="Rimandonotaapidipagina"/>
          <w:rFonts w:ascii="Times New Roman" w:hAnsi="Times New Roman" w:cs="Times"/>
        </w:rPr>
        <w:footnoteReference w:id="684"/>
      </w:r>
      <w:r w:rsidRPr="009A6BD2">
        <w:rPr>
          <w:rFonts w:ascii="Times New Roman" w:hAnsi="Times New Roman" w:cs="Times"/>
        </w:rPr>
        <w:t>; mais il n'est pas dans leur fonction de faire du mal.</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Pourtant, l'esprit, par lui-même, peut servir au mal</w:t>
      </w:r>
      <w:r w:rsidRPr="009A6BD2">
        <w:rPr>
          <w:rFonts w:ascii="Times New Roman" w:hAnsi="Times New Roman" w:cs="Times"/>
        </w:rPr>
        <w:t xml:space="preserve"> comme au bien. C'est pourquoi, en face des esprits auxiliaires et tutélaires, se constitua tout naturellement une classe de génies malins qui permirent aux hommes de s'expliquer les maux permanents dont ils ont à souffrir, les cauchemars </w:t>
      </w:r>
      <w:r w:rsidRPr="009A6BD2">
        <w:rPr>
          <w:rStyle w:val="Rimandonotaapidipagina"/>
          <w:rFonts w:ascii="Times New Roman" w:hAnsi="Times New Roman" w:cs="Times"/>
        </w:rPr>
        <w:footnoteReference w:id="685"/>
      </w:r>
      <w:r w:rsidRPr="009A6BD2">
        <w:rPr>
          <w:rFonts w:ascii="Times New Roman" w:hAnsi="Times New Roman" w:cs="Times"/>
        </w:rPr>
        <w:t>, les maladies </w:t>
      </w:r>
      <w:r w:rsidRPr="009A6BD2">
        <w:rPr>
          <w:rStyle w:val="Rimandonotaapidipagina"/>
          <w:rFonts w:ascii="Times New Roman" w:hAnsi="Times New Roman" w:cs="Times"/>
        </w:rPr>
        <w:footnoteReference w:id="686"/>
      </w:r>
      <w:r w:rsidRPr="009A6BD2">
        <w:rPr>
          <w:rFonts w:ascii="Times New Roman" w:hAnsi="Times New Roman" w:cs="Times"/>
        </w:rPr>
        <w:t>, les tourbillons et les tempêtes </w:t>
      </w:r>
      <w:r w:rsidRPr="009A6BD2">
        <w:rPr>
          <w:rStyle w:val="Rimandonotaapidipagina"/>
          <w:rFonts w:ascii="Times New Roman" w:hAnsi="Times New Roman" w:cs="Times"/>
        </w:rPr>
        <w:footnoteReference w:id="687"/>
      </w:r>
      <w:r w:rsidRPr="009A6BD2">
        <w:rPr>
          <w:rFonts w:ascii="Times New Roman" w:hAnsi="Times New Roman" w:cs="Times"/>
        </w:rPr>
        <w:t>, etc. Ce n'est pas, sans doute, que toutes ces misères humaines aient paru choses trop anormales pour pouvoir être expliquées autrement que par des forces surnaturelles ; mais c'est que toutes les forces sont alors pensé</w:t>
      </w:r>
      <w:r w:rsidRPr="009A6BD2">
        <w:rPr>
          <w:rFonts w:ascii="Times New Roman" w:hAnsi="Times New Roman" w:cs="Times"/>
        </w:rPr>
        <w:t>es sous forme religieuse. C'est un principe religieux qui est considéré comme la source de la vie ; il était donc logique de rapporter à un principe du même genre tous les événements qui troublent la vie ou qui la détruisent.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esprits nuisibles semblen</w:t>
      </w:r>
      <w:r w:rsidRPr="009A6BD2">
        <w:rPr>
          <w:rFonts w:ascii="Times New Roman" w:hAnsi="Times New Roman" w:cs="Times"/>
        </w:rPr>
        <w:t>t bien avoir été conçus sur le même modèle que les génies bienfaisants dont nous venons de parler. On se les représente sous forme animale, ou mi-partie animale et mi-partie humaine </w:t>
      </w:r>
      <w:r w:rsidRPr="009A6BD2">
        <w:rPr>
          <w:rStyle w:val="Rimandonotaapidipagina"/>
          <w:rFonts w:ascii="Times New Roman" w:hAnsi="Times New Roman" w:cs="Times"/>
        </w:rPr>
        <w:footnoteReference w:id="688"/>
      </w:r>
      <w:r w:rsidRPr="009A6BD2">
        <w:rPr>
          <w:rFonts w:ascii="Times New Roman" w:hAnsi="Times New Roman" w:cs="Times"/>
        </w:rPr>
        <w:t xml:space="preserve"> ; mais on est naturellement enclin à leur prêter des di</w:t>
      </w:r>
      <w:r w:rsidRPr="009A6BD2">
        <w:rPr>
          <w:rFonts w:ascii="Times New Roman" w:hAnsi="Times New Roman" w:cs="Times"/>
        </w:rPr>
        <w:softHyphen/>
        <w:t>men</w:t>
      </w:r>
      <w:r w:rsidRPr="009A6BD2">
        <w:rPr>
          <w:rFonts w:ascii="Times New Roman" w:hAnsi="Times New Roman" w:cs="Times"/>
        </w:rPr>
        <w:softHyphen/>
        <w:t>sions énorme</w:t>
      </w:r>
      <w:r w:rsidRPr="009A6BD2">
        <w:rPr>
          <w:rFonts w:ascii="Times New Roman" w:hAnsi="Times New Roman" w:cs="Times"/>
        </w:rPr>
        <w:t>s et un aspect repoussant </w:t>
      </w:r>
      <w:r w:rsidRPr="009A6BD2">
        <w:rPr>
          <w:rStyle w:val="Rimandonotaapidipagina"/>
          <w:rFonts w:ascii="Times New Roman" w:hAnsi="Times New Roman" w:cs="Times"/>
        </w:rPr>
        <w:footnoteReference w:id="689"/>
      </w:r>
      <w:r w:rsidRPr="009A6BD2">
        <w:rPr>
          <w:rFonts w:ascii="Times New Roman" w:hAnsi="Times New Roman" w:cs="Times"/>
        </w:rPr>
        <w:t>. Tout comme les âmes des ancêtres, ils sont cen</w:t>
      </w:r>
      <w:r w:rsidRPr="009A6BD2">
        <w:rPr>
          <w:rFonts w:ascii="Times New Roman" w:hAnsi="Times New Roman" w:cs="Times"/>
        </w:rPr>
        <w:softHyphen/>
        <w:t>sés habiter des arbres, des rochers, des trous d'eau, des cavernes souterraines </w:t>
      </w:r>
      <w:r w:rsidRPr="009A6BD2">
        <w:rPr>
          <w:rStyle w:val="Rimandonotaapidipagina"/>
          <w:rFonts w:ascii="Times New Roman" w:hAnsi="Times New Roman" w:cs="Times"/>
        </w:rPr>
        <w:footnoteReference w:id="690"/>
      </w:r>
      <w:r w:rsidRPr="009A6BD2">
        <w:rPr>
          <w:rFonts w:ascii="Times New Roman" w:hAnsi="Times New Roman" w:cs="Times"/>
        </w:rPr>
        <w:t>. Beaucoup nous sont représentés comme des âmes de personnes qui ont vécu d'une vie terrestre </w:t>
      </w:r>
      <w:r w:rsidRPr="009A6BD2">
        <w:rPr>
          <w:rStyle w:val="Rimandonotaapidipagina"/>
          <w:rFonts w:ascii="Times New Roman" w:hAnsi="Times New Roman" w:cs="Times"/>
        </w:rPr>
        <w:footnoteReference w:id="691"/>
      </w:r>
      <w:r w:rsidRPr="009A6BD2">
        <w:rPr>
          <w:rFonts w:ascii="Times New Roman" w:hAnsi="Times New Roman" w:cs="Times"/>
        </w:rPr>
        <w:t>. Po</w:t>
      </w:r>
      <w:r w:rsidRPr="009A6BD2">
        <w:rPr>
          <w:rFonts w:ascii="Times New Roman" w:hAnsi="Times New Roman" w:cs="Times"/>
        </w:rPr>
        <w:t>ur ce qui est des Arunta en particulier, Spencer et Gillen disent expressément que ces mauvais génies, connus sous le nom d'Oruncha, sont des êtres de l'Alcheringa </w:t>
      </w:r>
      <w:r w:rsidRPr="009A6BD2">
        <w:rPr>
          <w:rStyle w:val="Rimandonotaapidipagina"/>
          <w:rFonts w:ascii="Times New Roman" w:hAnsi="Times New Roman" w:cs="Times"/>
        </w:rPr>
        <w:footnoteReference w:id="692"/>
      </w:r>
      <w:r w:rsidRPr="009A6BD2">
        <w:rPr>
          <w:rFonts w:ascii="Times New Roman" w:hAnsi="Times New Roman" w:cs="Times"/>
        </w:rPr>
        <w:t>. Parmi les person</w:t>
      </w:r>
      <w:r w:rsidRPr="009A6BD2">
        <w:rPr>
          <w:rFonts w:ascii="Times New Roman" w:hAnsi="Times New Roman" w:cs="Times"/>
        </w:rPr>
        <w:softHyphen/>
        <w:t>nages de l'époque fabuleuse, il y en avait, en effet, de tempéraments di</w:t>
      </w:r>
      <w:r w:rsidRPr="009A6BD2">
        <w:rPr>
          <w:rFonts w:ascii="Times New Roman" w:hAnsi="Times New Roman" w:cs="Times"/>
        </w:rPr>
        <w:t>fférents : certains avaient des instincts cruels et méchants qu'ils gardent toujours </w:t>
      </w:r>
      <w:r w:rsidRPr="009A6BD2">
        <w:rPr>
          <w:rStyle w:val="Rimandonotaapidipagina"/>
          <w:rFonts w:ascii="Times New Roman" w:hAnsi="Times New Roman" w:cs="Times"/>
        </w:rPr>
        <w:footnoteReference w:id="693"/>
      </w:r>
      <w:r w:rsidRPr="009A6BD2">
        <w:rPr>
          <w:rFonts w:ascii="Times New Roman" w:hAnsi="Times New Roman" w:cs="Times"/>
        </w:rPr>
        <w:t xml:space="preserve"> ; d'autres étaient naturelle</w:t>
      </w:r>
      <w:r w:rsidRPr="009A6BD2">
        <w:rPr>
          <w:rFonts w:ascii="Times New Roman" w:hAnsi="Times New Roman" w:cs="Times"/>
        </w:rPr>
        <w:softHyphen/>
        <w:t>ment d'une mauvaise constitution ; ils étaient maigres et décharnés ; aussi, quand ils s'en</w:t>
      </w:r>
      <w:r w:rsidRPr="009A6BD2">
        <w:rPr>
          <w:rFonts w:ascii="Times New Roman" w:hAnsi="Times New Roman" w:cs="Times"/>
        </w:rPr>
        <w:softHyphen/>
        <w:t>fon</w:t>
      </w:r>
      <w:r w:rsidRPr="009A6BD2">
        <w:rPr>
          <w:rFonts w:ascii="Times New Roman" w:hAnsi="Times New Roman" w:cs="Times"/>
        </w:rPr>
        <w:softHyphen/>
        <w:t>cè</w:t>
      </w:r>
      <w:r w:rsidRPr="009A6BD2">
        <w:rPr>
          <w:rFonts w:ascii="Times New Roman" w:hAnsi="Times New Roman" w:cs="Times"/>
        </w:rPr>
        <w:softHyphen/>
      </w:r>
      <w:r w:rsidRPr="009A6BD2">
        <w:rPr>
          <w:rFonts w:ascii="Times New Roman" w:hAnsi="Times New Roman" w:cs="Times"/>
        </w:rPr>
        <w:softHyphen/>
        <w:t>rent dans le sol, les rochers nanja auxq</w:t>
      </w:r>
      <w:r w:rsidRPr="009A6BD2">
        <w:rPr>
          <w:rFonts w:ascii="Times New Roman" w:hAnsi="Times New Roman" w:cs="Times"/>
        </w:rPr>
        <w:t>uels ils donnèrent naissance furent-ils considérés comme des foyers de dangereuses influences </w:t>
      </w:r>
      <w:r w:rsidRPr="009A6BD2">
        <w:rPr>
          <w:rStyle w:val="Rimandonotaapidipagina"/>
          <w:rFonts w:ascii="Times New Roman" w:hAnsi="Times New Roman" w:cs="Times"/>
        </w:rPr>
        <w:footnoteReference w:id="69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Seulement, ils se distinguent de leurs congénères, les héros de l'Acheringa, par des caractères particuliers. Ils ne se réincarnent pas ; parmi les hommes viv</w:t>
      </w:r>
      <w:r w:rsidRPr="009A6BD2">
        <w:rPr>
          <w:rFonts w:ascii="Times New Roman" w:hAnsi="Times New Roman" w:cs="Times"/>
        </w:rPr>
        <w:t>ants, il n'y en a jamais qui les représentent ; ils sont sans postérité humaine </w:t>
      </w:r>
      <w:r w:rsidRPr="009A6BD2">
        <w:rPr>
          <w:rStyle w:val="Rimandonotaapidipagina"/>
          <w:rFonts w:ascii="Times New Roman" w:hAnsi="Times New Roman" w:cs="Times"/>
        </w:rPr>
        <w:footnoteReference w:id="695"/>
      </w:r>
      <w:r w:rsidRPr="009A6BD2">
        <w:rPr>
          <w:rFonts w:ascii="Times New Roman" w:hAnsi="Times New Roman" w:cs="Times"/>
        </w:rPr>
        <w:t>. Quand, à certains signes, on croit qu'un enfant est le produit de leurs oeuvres, on le met à mort aussitôt qu'il est né </w:t>
      </w:r>
      <w:r w:rsidRPr="009A6BD2">
        <w:rPr>
          <w:rStyle w:val="Rimandonotaapidipagina"/>
          <w:rFonts w:ascii="Times New Roman" w:hAnsi="Times New Roman" w:cs="Times"/>
        </w:rPr>
        <w:footnoteReference w:id="696"/>
      </w:r>
      <w:r w:rsidRPr="009A6BD2">
        <w:rPr>
          <w:rFonts w:ascii="Times New Roman" w:hAnsi="Times New Roman" w:cs="Times"/>
        </w:rPr>
        <w:t xml:space="preserve">. D'autre part, ils ne ressortissent à aucun centre </w:t>
      </w:r>
      <w:r w:rsidRPr="009A6BD2">
        <w:rPr>
          <w:rFonts w:ascii="Times New Roman" w:hAnsi="Times New Roman" w:cs="Times"/>
        </w:rPr>
        <w:t>totémique déterminé ; ils sont en dehors des cadres sociaux </w:t>
      </w:r>
      <w:r w:rsidRPr="009A6BD2">
        <w:rPr>
          <w:rStyle w:val="Rimandonotaapidipagina"/>
          <w:rFonts w:ascii="Times New Roman" w:hAnsi="Times New Roman" w:cs="Times"/>
        </w:rPr>
        <w:footnoteReference w:id="697"/>
      </w:r>
      <w:r w:rsidRPr="009A6BD2">
        <w:rPr>
          <w:rFonts w:ascii="Times New Roman" w:hAnsi="Times New Roman" w:cs="Times"/>
        </w:rPr>
        <w:t>. A tous ces traits, on reconnaît que ce sont des puissances beaucoup plus magiques que religieuses. Et en effet, c'est surtout avec le magicien qu'ils sont en rapports ; c'est d'eux que, très so</w:t>
      </w:r>
      <w:r w:rsidRPr="009A6BD2">
        <w:rPr>
          <w:rFonts w:ascii="Times New Roman" w:hAnsi="Times New Roman" w:cs="Times"/>
        </w:rPr>
        <w:t>uvent, il tient ses pouvoirs </w:t>
      </w:r>
      <w:r w:rsidRPr="009A6BD2">
        <w:rPr>
          <w:rStyle w:val="Rimandonotaapidipagina"/>
          <w:rFonts w:ascii="Times New Roman" w:hAnsi="Times New Roman" w:cs="Times"/>
        </w:rPr>
        <w:footnoteReference w:id="698"/>
      </w:r>
      <w:r w:rsidRPr="009A6BD2">
        <w:rPr>
          <w:rFonts w:ascii="Times New Roman" w:hAnsi="Times New Roman" w:cs="Times"/>
        </w:rPr>
        <w:t>. Nous sommes donc parvenus ici au point où finit le monde de la religion et où commence celui de la magie; et comme ce dernier est en dehors de notre recherche, nous n'avons pas à pousser plus loin cette étude </w:t>
      </w:r>
      <w:r w:rsidRPr="009A6BD2">
        <w:rPr>
          <w:rStyle w:val="Rimandonotaapidipagina"/>
          <w:rFonts w:ascii="Times New Roman" w:hAnsi="Times New Roman" w:cs="Times"/>
        </w:rPr>
        <w:footnoteReference w:id="699"/>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rPr>
          <w:rFonts w:ascii="Times New Roman" w:hAnsi="Times New Roman" w:cs="Times"/>
        </w:rPr>
      </w:pPr>
    </w:p>
    <w:p w:rsidR="009A6BD2" w:rsidRPr="009A6BD2" w:rsidRDefault="003E2D0F">
      <w:pPr>
        <w:pStyle w:val="section"/>
        <w:rPr>
          <w:rFonts w:ascii="Times New Roman" w:hAnsi="Times New Roman"/>
        </w:rPr>
      </w:pPr>
      <w:bookmarkStart w:id="54" w:name="livre_2_chap_9_3"/>
      <w:r w:rsidRPr="009A6BD2">
        <w:rPr>
          <w:rFonts w:ascii="Times New Roman" w:hAnsi="Times New Roman"/>
        </w:rPr>
        <w:t>III</w:t>
      </w:r>
    </w:p>
    <w:bookmarkEnd w:id="54"/>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w:instrText>
      </w:r>
      <w:r w:rsidRPr="009A6BD2">
        <w:rPr>
          <w:rFonts w:ascii="Times New Roman" w:hAnsi="Times New Roman" w:cs="Times"/>
          <w:sz w:val="20"/>
          <w:szCs w:val="20"/>
          <w:effect w:val="none"/>
        </w:rPr>
        <w:instrText xml:space="preserve">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L'apparition de la notion d'esprit marque un important progrès dans l'individualisation des forces religieuses.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Toutefois, les êtres spirituels dont il a été jusqu'à présent question ne sont encore que des personnages se</w:t>
      </w:r>
      <w:r w:rsidRPr="009A6BD2">
        <w:rPr>
          <w:rFonts w:ascii="Times New Roman" w:hAnsi="Times New Roman" w:cs="Times"/>
        </w:rPr>
        <w:t>condaires. Ou bien ce sont des génies malfaisants qui relèvent de la magie plus que de la religion; ou bien, attachés à un individu et à un endroit déterminés, ils ne peuvent faire sentir leur influence que dans un cercle de rayon très limité. Ils ne peuve</w:t>
      </w:r>
      <w:r w:rsidRPr="009A6BD2">
        <w:rPr>
          <w:rFonts w:ascii="Times New Roman" w:hAnsi="Times New Roman" w:cs="Times"/>
        </w:rPr>
        <w:t>nt donc être l'objet que de rites privés et locaux. Mais une fois que l'idée d'esprit fut constituée, elle s'étendit naturellement à des sphères plus élevées de la vie religieuse et des personnalités mythiques d'un ordre supérieur prirent ainsi naissance.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Si les cérémonies propres à chaque clan diffèrent les unes des autres, elles ne laissent pas de ressortir à une même religion ; aussi existe-t-il entre elles un certain nombre de similitudes essentielles. Puisque tous les clans ne sont que des parties d'u</w:t>
      </w:r>
      <w:r w:rsidRPr="009A6BD2">
        <w:rPr>
          <w:rFonts w:ascii="Times New Roman" w:hAnsi="Times New Roman" w:cs="Times"/>
        </w:rPr>
        <w:t xml:space="preserve">ne seule et même tribu, l'unité de la tribu ne peut pas ne pas se faire sentir à travers la diversité des cultes particuliers. Et en effet, il n'y a pas de groupe totémique qui n'ait des churinga, des </w:t>
      </w:r>
      <w:r w:rsidRPr="009A6BD2">
        <w:rPr>
          <w:rFonts w:ascii="Times New Roman" w:hAnsi="Times New Roman" w:cs="Times"/>
          <w:i/>
          <w:iCs/>
        </w:rPr>
        <w:t xml:space="preserve">bull-roarers, </w:t>
      </w:r>
      <w:r w:rsidRPr="009A6BD2">
        <w:rPr>
          <w:rFonts w:ascii="Times New Roman" w:hAnsi="Times New Roman" w:cs="Times"/>
        </w:rPr>
        <w:t>lesquels sont partout employés de semblab</w:t>
      </w:r>
      <w:r w:rsidRPr="009A6BD2">
        <w:rPr>
          <w:rFonts w:ascii="Times New Roman" w:hAnsi="Times New Roman" w:cs="Times"/>
        </w:rPr>
        <w:t>le façon. L'organisation de la tribu en phratries, en classes matrimoniales, en clans, les interdictions exogamiques qui y sont attachées constituent également de véritables institutions tribales. Les fêtes de l'initiation comprennent toutes certaines prat</w:t>
      </w:r>
      <w:r w:rsidRPr="009A6BD2">
        <w:rPr>
          <w:rFonts w:ascii="Times New Roman" w:hAnsi="Times New Roman" w:cs="Times"/>
        </w:rPr>
        <w:t>iques fondamentales, extraction de la dent, circoncision, subincision, etc., qui, pour une même tribu, ne varient pas avec les totems. L'uniformité sur ce point s'est d'autant plus facilement établie que l'initiation a toujours lieu en présence de la tribu</w:t>
      </w:r>
      <w:r w:rsidRPr="009A6BD2">
        <w:rPr>
          <w:rFonts w:ascii="Times New Roman" w:hAnsi="Times New Roman" w:cs="Times"/>
        </w:rPr>
        <w:t>, ou, tout au moins, devant une assemblée à laquelle des clans différents ont été convoqués. La raison en est que l'initiation a pour objet d'introduire le néophyte dans la vie religieuse, non seulement du clan où il est né, mais de la tribu tout entière ;</w:t>
      </w:r>
      <w:r w:rsidRPr="009A6BD2">
        <w:rPr>
          <w:rFonts w:ascii="Times New Roman" w:hAnsi="Times New Roman" w:cs="Times"/>
        </w:rPr>
        <w:t xml:space="preserve"> il est donc nécessaire que les aspects variés de la religion tribale soient représentés devant lui et passent, en quelque sorte, sous ses yeux. C'est à cette occasion que s'affirme le mieux l'unité morale et religieuse de la tribu.</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Il y a ainsi, dans cha</w:t>
      </w:r>
      <w:r w:rsidRPr="009A6BD2">
        <w:rPr>
          <w:rFonts w:ascii="Times New Roman" w:hAnsi="Times New Roman" w:cs="Times"/>
        </w:rPr>
        <w:t>que société, un certain nombre de rites qui se distinguent de tous les autres par leur homogénéité et leur généralité. Une aussi remarquable concordance ne parut pouvoir s'expliquer que par une unité d'origine. On imagina donc que chaque groupe de rites si</w:t>
      </w:r>
      <w:r w:rsidRPr="009A6BD2">
        <w:rPr>
          <w:rFonts w:ascii="Times New Roman" w:hAnsi="Times New Roman" w:cs="Times"/>
        </w:rPr>
        <w:t>milaires avait été institué par un seul et même ancêtre qui était venu les révéler à la tribu tout entière. Ainsi, chez les Arunta, c'est un ancêtre du clan du Chat-sauvage, nommé Putiaputia </w:t>
      </w:r>
      <w:r w:rsidRPr="009A6BD2">
        <w:rPr>
          <w:rStyle w:val="Rimandonotaapidipagina"/>
          <w:rFonts w:ascii="Times New Roman" w:hAnsi="Times New Roman" w:cs="Times"/>
        </w:rPr>
        <w:footnoteReference w:id="700"/>
      </w:r>
      <w:r w:rsidRPr="009A6BD2">
        <w:rPr>
          <w:rFonts w:ascii="Times New Roman" w:hAnsi="Times New Roman" w:cs="Times"/>
        </w:rPr>
        <w:t>, qui passe pour avoir appris aux hommes la manière de fabriquer</w:t>
      </w:r>
      <w:r w:rsidRPr="009A6BD2">
        <w:rPr>
          <w:rFonts w:ascii="Times New Roman" w:hAnsi="Times New Roman" w:cs="Times"/>
        </w:rPr>
        <w:t xml:space="preserve"> les churinga et de les employer rituellement ; chez les Warramunga, c'est Murtu-murtu </w:t>
      </w:r>
      <w:r w:rsidRPr="009A6BD2">
        <w:rPr>
          <w:rStyle w:val="Rimandonotaapidipagina"/>
          <w:rFonts w:ascii="Times New Roman" w:hAnsi="Times New Roman" w:cs="Times"/>
        </w:rPr>
        <w:footnoteReference w:id="701"/>
      </w:r>
      <w:r w:rsidRPr="009A6BD2">
        <w:rPr>
          <w:rFonts w:ascii="Times New Roman" w:hAnsi="Times New Roman" w:cs="Times"/>
        </w:rPr>
        <w:t xml:space="preserve"> ; chez les Urabunna, c'est Witurna </w:t>
      </w:r>
      <w:r w:rsidRPr="009A6BD2">
        <w:rPr>
          <w:rStyle w:val="Rimandonotaapidipagina"/>
          <w:rFonts w:ascii="Times New Roman" w:hAnsi="Times New Roman" w:cs="Times"/>
        </w:rPr>
        <w:footnoteReference w:id="702"/>
      </w:r>
      <w:r w:rsidRPr="009A6BD2">
        <w:rPr>
          <w:rFonts w:ascii="Times New Roman" w:hAnsi="Times New Roman" w:cs="Times"/>
        </w:rPr>
        <w:t>; c'est Atnatu chez les Kaitish </w:t>
      </w:r>
      <w:r w:rsidRPr="009A6BD2">
        <w:rPr>
          <w:rStyle w:val="Rimandonotaapidipagina"/>
          <w:rFonts w:ascii="Times New Roman" w:hAnsi="Times New Roman" w:cs="Times"/>
        </w:rPr>
        <w:footnoteReference w:id="703"/>
      </w:r>
      <w:r w:rsidRPr="009A6BD2">
        <w:rPr>
          <w:rFonts w:ascii="Times New Roman" w:hAnsi="Times New Roman" w:cs="Times"/>
        </w:rPr>
        <w:t xml:space="preserve"> et Tundun chez les Kurnai </w:t>
      </w:r>
      <w:r w:rsidRPr="009A6BD2">
        <w:rPr>
          <w:rStyle w:val="Rimandonotaapidipagina"/>
          <w:rFonts w:ascii="Times New Roman" w:hAnsi="Times New Roman" w:cs="Times"/>
        </w:rPr>
        <w:footnoteReference w:id="704"/>
      </w:r>
      <w:r w:rsidRPr="009A6BD2">
        <w:rPr>
          <w:rFonts w:ascii="Times New Roman" w:hAnsi="Times New Roman" w:cs="Times"/>
        </w:rPr>
        <w:t>. De même, les pratiques de la circoncision sont attribuées par les Di</w:t>
      </w:r>
      <w:r w:rsidRPr="009A6BD2">
        <w:rPr>
          <w:rFonts w:ascii="Times New Roman" w:hAnsi="Times New Roman" w:cs="Times"/>
        </w:rPr>
        <w:t>eri de l'est et plusieurs autres tribus </w:t>
      </w:r>
      <w:r w:rsidRPr="009A6BD2">
        <w:rPr>
          <w:rStyle w:val="Rimandonotaapidipagina"/>
          <w:rFonts w:ascii="Times New Roman" w:hAnsi="Times New Roman" w:cs="Times"/>
        </w:rPr>
        <w:footnoteReference w:id="705"/>
      </w:r>
      <w:r w:rsidRPr="009A6BD2">
        <w:rPr>
          <w:rFonts w:ascii="Times New Roman" w:hAnsi="Times New Roman" w:cs="Times"/>
        </w:rPr>
        <w:t xml:space="preserve"> à deux Muramura déterminés, par les Arunta à un héros de l'Alcheringa, du totem du Lézard, nommé Mangarkunjerkunja </w:t>
      </w:r>
      <w:r w:rsidRPr="009A6BD2">
        <w:rPr>
          <w:rStyle w:val="Rimandonotaapidipagina"/>
          <w:rFonts w:ascii="Times New Roman" w:hAnsi="Times New Roman" w:cs="Times"/>
        </w:rPr>
        <w:footnoteReference w:id="706"/>
      </w:r>
      <w:r w:rsidRPr="009A6BD2">
        <w:rPr>
          <w:rFonts w:ascii="Times New Roman" w:hAnsi="Times New Roman" w:cs="Times"/>
        </w:rPr>
        <w:t>. Au même personnage sont rapportées l'institution des interdictions matrimoniales et l'organisati</w:t>
      </w:r>
      <w:r w:rsidRPr="009A6BD2">
        <w:rPr>
          <w:rFonts w:ascii="Times New Roman" w:hAnsi="Times New Roman" w:cs="Times"/>
        </w:rPr>
        <w:t xml:space="preserve">on sociale qu'elles impliquent, la découverte du feu, l'invention de la lance, du bouclier, du boomerang, etc. Il arrive, d'ailleurs, très souvent que l'inventeur du </w:t>
      </w:r>
      <w:r w:rsidRPr="009A6BD2">
        <w:rPr>
          <w:rFonts w:ascii="Times New Roman" w:hAnsi="Times New Roman" w:cs="Times"/>
          <w:i/>
          <w:iCs/>
        </w:rPr>
        <w:t xml:space="preserve">bull-roarer </w:t>
      </w:r>
      <w:r w:rsidRPr="009A6BD2">
        <w:rPr>
          <w:rFonts w:ascii="Times New Roman" w:hAnsi="Times New Roman" w:cs="Times"/>
        </w:rPr>
        <w:t>est aussi considéré comme le fondateur des rites de l'initiation </w:t>
      </w:r>
      <w:r w:rsidRPr="009A6BD2">
        <w:rPr>
          <w:rStyle w:val="Rimandonotaapidipagina"/>
          <w:rFonts w:ascii="Times New Roman" w:hAnsi="Times New Roman" w:cs="Times"/>
        </w:rPr>
        <w:footnoteReference w:id="70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Ces ancêt</w:t>
      </w:r>
      <w:r w:rsidRPr="009A6BD2">
        <w:rPr>
          <w:rFonts w:ascii="Times New Roman" w:hAnsi="Times New Roman" w:cs="Times"/>
        </w:rPr>
        <w:t xml:space="preserve">res spéciaux ne pouvaient être mis au même rang que les autres. D'une part, les sentiments de vénération qu'ils inspiraient n'étaient pas limités à un clan, mais communs à toute la tribu. De plus, c'était à eux que l'on attribuait ce qu'il y avait de plus </w:t>
      </w:r>
      <w:r w:rsidRPr="009A6BD2">
        <w:rPr>
          <w:rFonts w:ascii="Times New Roman" w:hAnsi="Times New Roman" w:cs="Times"/>
        </w:rPr>
        <w:t>estimé dans la civilisation tribale. Pour cette double raison, ils devinrent l'objet d'une considération toute par</w:t>
      </w:r>
      <w:r w:rsidRPr="009A6BD2">
        <w:rPr>
          <w:rFonts w:ascii="Times New Roman" w:hAnsi="Times New Roman" w:cs="Times"/>
        </w:rPr>
        <w:softHyphen/>
        <w:t>ti</w:t>
      </w:r>
      <w:r w:rsidRPr="009A6BD2">
        <w:rPr>
          <w:rFonts w:ascii="Times New Roman" w:hAnsi="Times New Roman" w:cs="Times"/>
        </w:rPr>
        <w:softHyphen/>
        <w:t>culière: On dit, par exemple, d'Atnatu qu'il est né au ciel, à une époque antérieure même aux temps de l'Alcheringa, qu'il s'est fait lui-</w:t>
      </w:r>
      <w:r w:rsidRPr="009A6BD2">
        <w:rPr>
          <w:rFonts w:ascii="Times New Roman" w:hAnsi="Times New Roman" w:cs="Times"/>
        </w:rPr>
        <w:t>même et s'est lui-même donné le nom qu'il porte. Les étoiles sont ses femmes on ses filles. Au delà du ciel où il vit, il y en a un autre avec un autre soleil. Son nom est sacré, et ne doit jamais être prononcé devant les femmes ou les non-initiés </w:t>
      </w:r>
      <w:r w:rsidRPr="009A6BD2">
        <w:rPr>
          <w:rStyle w:val="Rimandonotaapidipagina"/>
          <w:rFonts w:ascii="Times New Roman" w:hAnsi="Times New Roman" w:cs="Times"/>
        </w:rPr>
        <w:footnoteReference w:id="708"/>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Cepe</w:t>
      </w:r>
      <w:r w:rsidRPr="009A6BD2">
        <w:rPr>
          <w:rFonts w:ascii="Times New Roman" w:hAnsi="Times New Roman" w:cs="Times"/>
        </w:rPr>
        <w:t xml:space="preserve">ndant, quel que soit le prestige dont jouissent ces personnages, il n'y avait pas lieu d'instituer en leur honneur des rites particuliers ; car ils ne sont eux-mêmes que des rites personnifiés. Ils n'ont d'autre raison d'être que d'expliquer des pratiques </w:t>
      </w:r>
      <w:r w:rsidRPr="009A6BD2">
        <w:rPr>
          <w:rFonts w:ascii="Times New Roman" w:hAnsi="Times New Roman" w:cs="Times"/>
        </w:rPr>
        <w:t>existantes ; ils n'en sont qu'un autre aspect. Le churinga ne fait qu'un avec l'ancêtre qui l'inventa ; l'un et l'autre portent parfois le même nom </w:t>
      </w:r>
      <w:r w:rsidRPr="009A6BD2">
        <w:rPr>
          <w:rStyle w:val="Rimandonotaapidipagina"/>
          <w:rFonts w:ascii="Times New Roman" w:hAnsi="Times New Roman" w:cs="Times"/>
        </w:rPr>
        <w:footnoteReference w:id="709"/>
      </w:r>
      <w:r w:rsidRPr="009A6BD2">
        <w:rPr>
          <w:rFonts w:ascii="Times New Roman" w:hAnsi="Times New Roman" w:cs="Times"/>
        </w:rPr>
        <w:t xml:space="preserve">. Quand on fait résonner le </w:t>
      </w:r>
      <w:r w:rsidRPr="009A6BD2">
        <w:rPr>
          <w:rFonts w:ascii="Times New Roman" w:hAnsi="Times New Roman" w:cs="Times"/>
          <w:i/>
          <w:iCs/>
        </w:rPr>
        <w:t xml:space="preserve">bull-roarer, </w:t>
      </w:r>
      <w:r w:rsidRPr="009A6BD2">
        <w:rPr>
          <w:rFonts w:ascii="Times New Roman" w:hAnsi="Times New Roman" w:cs="Times"/>
        </w:rPr>
        <w:t>on dit que c'est la voix de l'ancêtre qui se fait entendre </w:t>
      </w:r>
      <w:r w:rsidRPr="009A6BD2">
        <w:rPr>
          <w:rStyle w:val="Rimandonotaapidipagina"/>
          <w:rFonts w:ascii="Times New Roman" w:hAnsi="Times New Roman" w:cs="Times"/>
        </w:rPr>
        <w:footnoteReference w:id="710"/>
      </w:r>
      <w:r w:rsidRPr="009A6BD2">
        <w:rPr>
          <w:rFonts w:ascii="Times New Roman" w:hAnsi="Times New Roman" w:cs="Times"/>
        </w:rPr>
        <w:t>. Mais</w:t>
      </w:r>
      <w:r w:rsidRPr="009A6BD2">
        <w:rPr>
          <w:rFonts w:ascii="Times New Roman" w:hAnsi="Times New Roman" w:cs="Times"/>
        </w:rPr>
        <w:t>, précisément parce que chacun de ces héros se confond avec le culte qu'il passe pour avoir institué, on croit qu'il est attentif à la manière dont il est célébré. Il n'est satisfait que si les fidèles s'acquittent exactement de leurs devoirs ; il punit ce</w:t>
      </w:r>
      <w:r w:rsidRPr="009A6BD2">
        <w:rPr>
          <w:rFonts w:ascii="Times New Roman" w:hAnsi="Times New Roman" w:cs="Times"/>
        </w:rPr>
        <w:t>ux qui sont négligents </w:t>
      </w:r>
      <w:r w:rsidRPr="009A6BD2">
        <w:rPr>
          <w:rStyle w:val="Rimandonotaapidipagina"/>
          <w:rFonts w:ascii="Times New Roman" w:hAnsi="Times New Roman" w:cs="Times"/>
        </w:rPr>
        <w:footnoteReference w:id="711"/>
      </w:r>
      <w:r w:rsidRPr="009A6BD2">
        <w:rPr>
          <w:rFonts w:ascii="Times New Roman" w:hAnsi="Times New Roman" w:cs="Times"/>
        </w:rPr>
        <w:t>. Il est donc regardé comme le gardien du rite en même temps qu'il en est le fondateur, et, pour cette raison, il se trouve investi d'un véritable rôle moral </w:t>
      </w:r>
      <w:r w:rsidRPr="009A6BD2">
        <w:rPr>
          <w:rStyle w:val="Rimandonotaapidipagina"/>
          <w:rFonts w:ascii="Times New Roman" w:hAnsi="Times New Roman" w:cs="Times"/>
        </w:rPr>
        <w:footnoteReference w:id="712"/>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rPr>
          <w:rFonts w:ascii="Times New Roman" w:hAnsi="Times New Roman" w:cs="Times"/>
          <w:i/>
          <w:iCs/>
        </w:rPr>
      </w:pPr>
    </w:p>
    <w:p w:rsidR="009A6BD2" w:rsidRPr="009A6BD2" w:rsidRDefault="003E2D0F">
      <w:pPr>
        <w:pStyle w:val="section"/>
        <w:rPr>
          <w:rFonts w:ascii="Times New Roman" w:hAnsi="Times New Roman"/>
        </w:rPr>
      </w:pPr>
      <w:bookmarkStart w:id="55" w:name="livre_2_chap_9_4"/>
      <w:r w:rsidRPr="009A6BD2">
        <w:rPr>
          <w:rFonts w:ascii="Times New Roman" w:hAnsi="Times New Roman"/>
        </w:rPr>
        <w:t>IV</w:t>
      </w:r>
    </w:p>
    <w:bookmarkEnd w:id="55"/>
    <w:p w:rsidR="009A6BD2" w:rsidRPr="009A6BD2" w:rsidRDefault="003E2D0F">
      <w:pPr>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Et cependant, cette form</w:t>
      </w:r>
      <w:r w:rsidRPr="009A6BD2">
        <w:rPr>
          <w:rFonts w:ascii="Times New Roman" w:hAnsi="Times New Roman" w:cs="Times"/>
        </w:rPr>
        <w:t xml:space="preserve">ation mythologique n'est pas la plus élevée que l'on trouve chez les Australiens. Il y a tout au moins un certain nombre de tribus qui sont parvenues à la conception d'un dieu, sinon unique, du moins suprême, auquel est attribuée une situation prééminente </w:t>
      </w:r>
      <w:r w:rsidRPr="009A6BD2">
        <w:rPr>
          <w:rFonts w:ascii="Times New Roman" w:hAnsi="Times New Roman" w:cs="Times"/>
        </w:rPr>
        <w:t>par rapport aux autres entités religieuses.</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L'existence de cette croyance avait été, depuis longtemps, signalée par différents obser</w:t>
      </w:r>
      <w:r w:rsidRPr="009A6BD2">
        <w:rPr>
          <w:rFonts w:ascii="Times New Roman" w:hAnsi="Times New Roman" w:cs="Times"/>
        </w:rPr>
        <w:softHyphen/>
        <w:t>vateurs </w:t>
      </w:r>
      <w:r w:rsidRPr="009A6BD2">
        <w:rPr>
          <w:rStyle w:val="Rimandonotaapidipagina"/>
          <w:rFonts w:ascii="Times New Roman" w:hAnsi="Times New Roman" w:cs="Times"/>
        </w:rPr>
        <w:footnoteReference w:id="713"/>
      </w:r>
      <w:r w:rsidRPr="009A6BD2">
        <w:rPr>
          <w:rFonts w:ascii="Times New Roman" w:hAnsi="Times New Roman" w:cs="Times"/>
        </w:rPr>
        <w:t xml:space="preserve"> ; mais c'est Howitt qui a le plus contribué à en établir la généralité relative. Il l'a constatée, en effet, sur</w:t>
      </w:r>
      <w:r w:rsidRPr="009A6BD2">
        <w:rPr>
          <w:rFonts w:ascii="Times New Roman" w:hAnsi="Times New Roman" w:cs="Times"/>
        </w:rPr>
        <w:t xml:space="preserve"> une aire géographique très étendue qui comprend l'État de Victoria, la Nouvelle-Galles du Sud, et qui s'étend même jusqu'au Queensland </w:t>
      </w:r>
      <w:r w:rsidRPr="009A6BD2">
        <w:rPr>
          <w:rStyle w:val="Rimandonotaapidipagina"/>
          <w:rFonts w:ascii="Times New Roman" w:hAnsi="Times New Roman" w:cs="Times"/>
        </w:rPr>
        <w:footnoteReference w:id="714"/>
      </w:r>
      <w:r w:rsidRPr="009A6BD2">
        <w:rPr>
          <w:rFonts w:ascii="Times New Roman" w:hAnsi="Times New Roman" w:cs="Times"/>
        </w:rPr>
        <w:t>. Dans toute cette région, un nombre considérable de tribus croient à l'existence d'une véritable divinité tribale qui,</w:t>
      </w:r>
      <w:r w:rsidRPr="009A6BD2">
        <w:rPr>
          <w:rFonts w:ascii="Times New Roman" w:hAnsi="Times New Roman" w:cs="Times"/>
        </w:rPr>
        <w:t xml:space="preserve"> suivant les régions, porte des noms différents. Les plus fréquemment employés sont ceux de Bunjil on Punjil </w:t>
      </w:r>
      <w:r w:rsidRPr="009A6BD2">
        <w:rPr>
          <w:rStyle w:val="Rimandonotaapidipagina"/>
          <w:rFonts w:ascii="Times New Roman" w:hAnsi="Times New Roman" w:cs="Times"/>
        </w:rPr>
        <w:footnoteReference w:id="715"/>
      </w:r>
      <w:r w:rsidRPr="009A6BD2">
        <w:rPr>
          <w:rFonts w:ascii="Times New Roman" w:hAnsi="Times New Roman" w:cs="Times"/>
        </w:rPr>
        <w:t>, de Daramulun </w:t>
      </w:r>
      <w:r w:rsidRPr="009A6BD2">
        <w:rPr>
          <w:rStyle w:val="Rimandonotaapidipagina"/>
          <w:rFonts w:ascii="Times New Roman" w:hAnsi="Times New Roman" w:cs="Times"/>
        </w:rPr>
        <w:footnoteReference w:id="716"/>
      </w:r>
      <w:r w:rsidRPr="009A6BD2">
        <w:rPr>
          <w:rFonts w:ascii="Times New Roman" w:hAnsi="Times New Roman" w:cs="Times"/>
        </w:rPr>
        <w:t xml:space="preserve"> et de Baiame </w:t>
      </w:r>
      <w:r w:rsidRPr="009A6BD2">
        <w:rPr>
          <w:rStyle w:val="Rimandonotaapidipagina"/>
          <w:rFonts w:ascii="Times New Roman" w:hAnsi="Times New Roman" w:cs="Times"/>
        </w:rPr>
        <w:footnoteReference w:id="717"/>
      </w:r>
      <w:r w:rsidRPr="009A6BD2">
        <w:rPr>
          <w:rFonts w:ascii="Times New Roman" w:hAnsi="Times New Roman" w:cs="Times"/>
        </w:rPr>
        <w:t>. Mais on rencontre aussi ceux de Nuralie ou Nurelle </w:t>
      </w:r>
      <w:r w:rsidRPr="009A6BD2">
        <w:rPr>
          <w:rStyle w:val="Rimandonotaapidipagina"/>
          <w:rFonts w:ascii="Times New Roman" w:hAnsi="Times New Roman" w:cs="Times"/>
        </w:rPr>
        <w:footnoteReference w:id="718"/>
      </w:r>
      <w:r w:rsidRPr="009A6BD2">
        <w:rPr>
          <w:rFonts w:ascii="Times New Roman" w:hAnsi="Times New Roman" w:cs="Times"/>
        </w:rPr>
        <w:t>, de Kohin </w:t>
      </w:r>
      <w:r w:rsidRPr="009A6BD2">
        <w:rPr>
          <w:rStyle w:val="Rimandonotaapidipagina"/>
          <w:rFonts w:ascii="Times New Roman" w:hAnsi="Times New Roman" w:cs="Times"/>
        </w:rPr>
        <w:footnoteReference w:id="719"/>
      </w:r>
      <w:r w:rsidRPr="009A6BD2">
        <w:rPr>
          <w:rFonts w:ascii="Times New Roman" w:hAnsi="Times New Roman" w:cs="Times"/>
        </w:rPr>
        <w:t>, de Mungan-ngaua </w:t>
      </w:r>
      <w:r w:rsidRPr="009A6BD2">
        <w:rPr>
          <w:rStyle w:val="Rimandonotaapidipagina"/>
          <w:rFonts w:ascii="Times New Roman" w:hAnsi="Times New Roman" w:cs="Times"/>
        </w:rPr>
        <w:footnoteReference w:id="720"/>
      </w:r>
      <w:r w:rsidRPr="009A6BD2">
        <w:rPr>
          <w:rFonts w:ascii="Times New Roman" w:hAnsi="Times New Roman" w:cs="Times"/>
        </w:rPr>
        <w:t>. On trouve la même conception</w:t>
      </w:r>
      <w:r w:rsidRPr="009A6BD2">
        <w:rPr>
          <w:rFonts w:ascii="Times New Roman" w:hAnsi="Times New Roman" w:cs="Times"/>
        </w:rPr>
        <w:t xml:space="preserve"> plus à l'ouest, chez les Narrinyeri où le grand dieu s'appelle Nurunderi ou Ngurrunderi </w:t>
      </w:r>
      <w:r w:rsidRPr="009A6BD2">
        <w:rPr>
          <w:rStyle w:val="Rimandonotaapidipagina"/>
          <w:rFonts w:ascii="Times New Roman" w:hAnsi="Times New Roman" w:cs="Times"/>
        </w:rPr>
        <w:footnoteReference w:id="721"/>
      </w:r>
      <w:r w:rsidRPr="009A6BD2">
        <w:rPr>
          <w:rFonts w:ascii="Times New Roman" w:hAnsi="Times New Roman" w:cs="Times"/>
        </w:rPr>
        <w:t>. Chez les Dieri, il est assez vraisemblable que, pardessus les Mura-mura ou ancêtres ordinaires, il en existe un qui jouit d'une sorte de suprématie </w:t>
      </w:r>
      <w:r w:rsidRPr="009A6BD2">
        <w:rPr>
          <w:rStyle w:val="Rimandonotaapidipagina"/>
          <w:rFonts w:ascii="Times New Roman" w:hAnsi="Times New Roman" w:cs="Times"/>
        </w:rPr>
        <w:footnoteReference w:id="722"/>
      </w:r>
      <w:r w:rsidRPr="009A6BD2">
        <w:rPr>
          <w:rFonts w:ascii="Times New Roman" w:hAnsi="Times New Roman" w:cs="Times"/>
        </w:rPr>
        <w:t>. Enfin, contra</w:t>
      </w:r>
      <w:r w:rsidRPr="009A6BD2">
        <w:rPr>
          <w:rFonts w:ascii="Times New Roman" w:hAnsi="Times New Roman" w:cs="Times"/>
        </w:rPr>
        <w:t>irement aux affirmations de Spencer et Gillen qui déclaraient n'avoir observé chez les Arunta aucune croyance à une divinité proprement dite </w:t>
      </w:r>
      <w:r w:rsidRPr="009A6BD2">
        <w:rPr>
          <w:rStyle w:val="Rimandonotaapidipagina"/>
          <w:rFonts w:ascii="Times New Roman" w:hAnsi="Times New Roman" w:cs="Times"/>
        </w:rPr>
        <w:footnoteReference w:id="723"/>
      </w:r>
      <w:r w:rsidRPr="009A6BD2">
        <w:rPr>
          <w:rFonts w:ascii="Times New Roman" w:hAnsi="Times New Roman" w:cs="Times"/>
        </w:rPr>
        <w:t>, Strehlow assure que, sous le nom d'Altjira, ce peuple, comme celui des Loritja, reconnaît un véritable « bon die</w:t>
      </w:r>
      <w:r w:rsidRPr="009A6BD2">
        <w:rPr>
          <w:rFonts w:ascii="Times New Roman" w:hAnsi="Times New Roman" w:cs="Times"/>
        </w:rPr>
        <w:t>u » </w:t>
      </w:r>
      <w:r w:rsidRPr="009A6BD2">
        <w:rPr>
          <w:rStyle w:val="Rimandonotaapidipagina"/>
          <w:rFonts w:ascii="Times New Roman" w:hAnsi="Times New Roman" w:cs="Times"/>
        </w:rPr>
        <w:footnoteReference w:id="724"/>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Les caractères essentiels de ce personnage sont partout les mêmes. C'est un être immortel, et même éternel ; car il ne dérive d'aucun autre. Après avoir habité la terre pendant un temps, il s'éleva au ciel ou il y fut enlevé </w:t>
      </w:r>
      <w:r w:rsidRPr="009A6BD2">
        <w:rPr>
          <w:rStyle w:val="Rimandonotaapidipagina"/>
          <w:rFonts w:ascii="Times New Roman" w:hAnsi="Times New Roman" w:cs="Times"/>
        </w:rPr>
        <w:footnoteReference w:id="725"/>
      </w:r>
      <w:r w:rsidRPr="009A6BD2">
        <w:rPr>
          <w:rFonts w:ascii="Times New Roman" w:hAnsi="Times New Roman" w:cs="Times"/>
        </w:rPr>
        <w:t>, et il continue à y v</w:t>
      </w:r>
      <w:r w:rsidRPr="009A6BD2">
        <w:rPr>
          <w:rFonts w:ascii="Times New Roman" w:hAnsi="Times New Roman" w:cs="Times"/>
        </w:rPr>
        <w:t>ivre entouré de sa famille ; car on lui attribue généralement une ou plusieurs femmes, des enfants, des frères </w:t>
      </w:r>
      <w:r w:rsidRPr="009A6BD2">
        <w:rPr>
          <w:rStyle w:val="Rimandonotaapidipagina"/>
          <w:rFonts w:ascii="Times New Roman" w:hAnsi="Times New Roman" w:cs="Times"/>
        </w:rPr>
        <w:footnoteReference w:id="726"/>
      </w:r>
      <w:r w:rsidRPr="009A6BD2">
        <w:rPr>
          <w:rFonts w:ascii="Times New Roman" w:hAnsi="Times New Roman" w:cs="Times"/>
        </w:rPr>
        <w:t xml:space="preserve"> qui, parfois, l'assis</w:t>
      </w:r>
      <w:r w:rsidRPr="009A6BD2">
        <w:rPr>
          <w:rFonts w:ascii="Times New Roman" w:hAnsi="Times New Roman" w:cs="Times"/>
        </w:rPr>
        <w:softHyphen/>
        <w:t>tent dans ses fonctions. En raison du séjour qui lui est assigné, il est souvent identifié, ainsi que tous les siens, ave</w:t>
      </w:r>
      <w:r w:rsidRPr="009A6BD2">
        <w:rPr>
          <w:rFonts w:ascii="Times New Roman" w:hAnsi="Times New Roman" w:cs="Times"/>
        </w:rPr>
        <w:t>c des étoiles déterminées </w:t>
      </w:r>
      <w:r w:rsidRPr="009A6BD2">
        <w:rPr>
          <w:rStyle w:val="Rimandonotaapidipagina"/>
          <w:rFonts w:ascii="Times New Roman" w:hAnsi="Times New Roman" w:cs="Times"/>
        </w:rPr>
        <w:footnoteReference w:id="727"/>
      </w:r>
      <w:r w:rsidRPr="009A6BD2">
        <w:rPr>
          <w:rFonts w:ascii="Times New Roman" w:hAnsi="Times New Roman" w:cs="Times"/>
        </w:rPr>
        <w:t>. On lui attribue, d'ailleurs, un pouvoir sur les astres. C'est lui qui a réglé la marche du soleil et de la lune </w:t>
      </w:r>
      <w:r w:rsidRPr="009A6BD2">
        <w:rPr>
          <w:rStyle w:val="Rimandonotaapidipagina"/>
          <w:rFonts w:ascii="Times New Roman" w:hAnsi="Times New Roman" w:cs="Times"/>
        </w:rPr>
        <w:footnoteReference w:id="728"/>
      </w:r>
      <w:r w:rsidRPr="009A6BD2">
        <w:rPr>
          <w:rFonts w:ascii="Times New Roman" w:hAnsi="Times New Roman" w:cs="Times"/>
        </w:rPr>
        <w:t xml:space="preserve"> ; il leur donne des ordres </w:t>
      </w:r>
      <w:r w:rsidRPr="009A6BD2">
        <w:rPr>
          <w:rStyle w:val="Rimandonotaapidipagina"/>
          <w:rFonts w:ascii="Times New Roman" w:hAnsi="Times New Roman" w:cs="Times"/>
        </w:rPr>
        <w:footnoteReference w:id="729"/>
      </w:r>
      <w:r w:rsidRPr="009A6BD2">
        <w:rPr>
          <w:rFonts w:ascii="Times New Roman" w:hAnsi="Times New Roman" w:cs="Times"/>
        </w:rPr>
        <w:t>. C'est lui qui fait jaillir l'éclair de la nue et qui lance la foudre </w:t>
      </w:r>
      <w:r w:rsidRPr="009A6BD2">
        <w:rPr>
          <w:rStyle w:val="Rimandonotaapidipagina"/>
          <w:rFonts w:ascii="Times New Roman" w:hAnsi="Times New Roman" w:cs="Times"/>
        </w:rPr>
        <w:footnoteReference w:id="730"/>
      </w:r>
      <w:r w:rsidRPr="009A6BD2">
        <w:rPr>
          <w:rFonts w:ascii="Times New Roman" w:hAnsi="Times New Roman" w:cs="Times"/>
        </w:rPr>
        <w:t>. Parce qu'il</w:t>
      </w:r>
      <w:r w:rsidRPr="009A6BD2">
        <w:rPr>
          <w:rFonts w:ascii="Times New Roman" w:hAnsi="Times New Roman" w:cs="Times"/>
        </w:rPr>
        <w:t xml:space="preserve"> est le tonnerre, il est également en relation avec la pluie </w:t>
      </w:r>
      <w:r w:rsidRPr="009A6BD2">
        <w:rPr>
          <w:rStyle w:val="Rimandonotaapidipagina"/>
          <w:rFonts w:ascii="Times New Roman" w:hAnsi="Times New Roman" w:cs="Times"/>
        </w:rPr>
        <w:footnoteReference w:id="731"/>
      </w:r>
      <w:r w:rsidRPr="009A6BD2">
        <w:rPr>
          <w:rFonts w:ascii="Times New Roman" w:hAnsi="Times New Roman" w:cs="Times"/>
        </w:rPr>
        <w:t xml:space="preserve"> : c'est à lui qu'on s'adresse quand on manque d'eau ou quand il en est trop tombé </w:t>
      </w:r>
      <w:r w:rsidRPr="009A6BD2">
        <w:rPr>
          <w:rStyle w:val="Rimandonotaapidipagina"/>
          <w:rFonts w:ascii="Times New Roman" w:hAnsi="Times New Roman" w:cs="Times"/>
        </w:rPr>
        <w:footnoteReference w:id="73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On en parle comme d'une sorte de créateur : il est appelé le père des hommes et on dit qu'il les a faits. D</w:t>
      </w:r>
      <w:r w:rsidRPr="009A6BD2">
        <w:rPr>
          <w:rFonts w:ascii="Times New Roman" w:hAnsi="Times New Roman" w:cs="Times"/>
        </w:rPr>
        <w:t>'après une légende qui avait cours à Melbourne, Bunjil aurait fait le premier homme de la manière suivante. Avec de l'argile, il aurait fabriqué une statuette ; puis il aurait dansé tout autour plusieurs fois, lui aurait soufflé dans les narines et la stat</w:t>
      </w:r>
      <w:r w:rsidRPr="009A6BD2">
        <w:rPr>
          <w:rFonts w:ascii="Times New Roman" w:hAnsi="Times New Roman" w:cs="Times"/>
        </w:rPr>
        <w:t>uette se serait animée et se serait mise en marche </w:t>
      </w:r>
      <w:r w:rsidRPr="009A6BD2">
        <w:rPr>
          <w:rStyle w:val="Rimandonotaapidipagina"/>
          <w:rFonts w:ascii="Times New Roman" w:hAnsi="Times New Roman" w:cs="Times"/>
        </w:rPr>
        <w:footnoteReference w:id="733"/>
      </w:r>
      <w:r w:rsidRPr="009A6BD2">
        <w:rPr>
          <w:rFonts w:ascii="Times New Roman" w:hAnsi="Times New Roman" w:cs="Times"/>
        </w:rPr>
        <w:t>. D'après un autre mythe, il aurait allumé le soleil ; la terre se serait alors échauffée et les hommes en seraient sortis </w:t>
      </w:r>
      <w:r w:rsidRPr="009A6BD2">
        <w:rPr>
          <w:rStyle w:val="Rimandonotaapidipagina"/>
          <w:rFonts w:ascii="Times New Roman" w:hAnsi="Times New Roman" w:cs="Times"/>
        </w:rPr>
        <w:footnoteReference w:id="734"/>
      </w:r>
      <w:r w:rsidRPr="009A6BD2">
        <w:rPr>
          <w:rFonts w:ascii="Times New Roman" w:hAnsi="Times New Roman" w:cs="Times"/>
        </w:rPr>
        <w:t>. En même temps que les hommes </w:t>
      </w:r>
      <w:r w:rsidRPr="009A6BD2">
        <w:rPr>
          <w:rStyle w:val="Rimandonotaapidipagina"/>
          <w:rFonts w:ascii="Times New Roman" w:hAnsi="Times New Roman" w:cs="Times"/>
        </w:rPr>
        <w:footnoteReference w:id="735"/>
      </w:r>
      <w:r w:rsidRPr="009A6BD2">
        <w:rPr>
          <w:rFonts w:ascii="Times New Roman" w:hAnsi="Times New Roman" w:cs="Times"/>
        </w:rPr>
        <w:t>, ce personnage divin a fait les animaux, les ar</w:t>
      </w:r>
      <w:r w:rsidRPr="009A6BD2">
        <w:rPr>
          <w:rFonts w:ascii="Times New Roman" w:hAnsi="Times New Roman" w:cs="Times"/>
        </w:rPr>
        <w:t>bres </w:t>
      </w:r>
      <w:r w:rsidRPr="009A6BD2">
        <w:rPr>
          <w:rStyle w:val="Rimandonotaapidipagina"/>
          <w:rFonts w:ascii="Times New Roman" w:hAnsi="Times New Roman" w:cs="Times"/>
        </w:rPr>
        <w:footnoteReference w:id="736"/>
      </w:r>
      <w:r w:rsidRPr="009A6BD2">
        <w:rPr>
          <w:rFonts w:ascii="Times New Roman" w:hAnsi="Times New Roman" w:cs="Times"/>
        </w:rPr>
        <w:t>; c'est à lui qu'on doit tous les arts de la vie, les armes, le langage, les rites tribaux </w:t>
      </w:r>
      <w:r w:rsidRPr="009A6BD2">
        <w:rPr>
          <w:rStyle w:val="Rimandonotaapidipagina"/>
          <w:rFonts w:ascii="Times New Roman" w:hAnsi="Times New Roman" w:cs="Times"/>
        </w:rPr>
        <w:footnoteReference w:id="737"/>
      </w:r>
      <w:r w:rsidRPr="009A6BD2">
        <w:rPr>
          <w:rFonts w:ascii="Times New Roman" w:hAnsi="Times New Roman" w:cs="Times"/>
        </w:rPr>
        <w:t>. Il est le bienfaiteur de l'humanité. Maintenant encore, il joue pour elle le rôle d'une sorte de Providence. C'est lui qui approvi</w:t>
      </w:r>
      <w:r w:rsidRPr="009A6BD2">
        <w:rPr>
          <w:rFonts w:ascii="Times New Roman" w:hAnsi="Times New Roman" w:cs="Times"/>
        </w:rPr>
        <w:softHyphen/>
        <w:t>sionne ses fidèles de tou</w:t>
      </w:r>
      <w:r w:rsidRPr="009A6BD2">
        <w:rPr>
          <w:rFonts w:ascii="Times New Roman" w:hAnsi="Times New Roman" w:cs="Times"/>
        </w:rPr>
        <w:t>t ce qui est nécessaire à leur existence </w:t>
      </w:r>
      <w:r w:rsidRPr="009A6BD2">
        <w:rPr>
          <w:rStyle w:val="Rimandonotaapidipagina"/>
          <w:rFonts w:ascii="Times New Roman" w:hAnsi="Times New Roman" w:cs="Times"/>
        </w:rPr>
        <w:footnoteReference w:id="738"/>
      </w:r>
      <w:r w:rsidRPr="009A6BD2">
        <w:rPr>
          <w:rFonts w:ascii="Times New Roman" w:hAnsi="Times New Roman" w:cs="Times"/>
        </w:rPr>
        <w:t>. Il est en communication avec eux soit directement, soit par intermédiaires </w:t>
      </w:r>
      <w:r w:rsidRPr="009A6BD2">
        <w:rPr>
          <w:rStyle w:val="Rimandonotaapidipagina"/>
          <w:rFonts w:ascii="Times New Roman" w:hAnsi="Times New Roman" w:cs="Times"/>
        </w:rPr>
        <w:footnoteReference w:id="739"/>
      </w:r>
      <w:r w:rsidRPr="009A6BD2">
        <w:rPr>
          <w:rFonts w:ascii="Times New Roman" w:hAnsi="Times New Roman" w:cs="Times"/>
        </w:rPr>
        <w:t>. Mais en même temps, gardien de la morale tribale, il sévit quand elle est violée </w:t>
      </w:r>
      <w:r w:rsidRPr="009A6BD2">
        <w:rPr>
          <w:rStyle w:val="Rimandonotaapidipagina"/>
          <w:rFonts w:ascii="Times New Roman" w:hAnsi="Times New Roman" w:cs="Times"/>
        </w:rPr>
        <w:footnoteReference w:id="740"/>
      </w:r>
      <w:r w:rsidRPr="009A6BD2">
        <w:rPr>
          <w:rFonts w:ascii="Times New Roman" w:hAnsi="Times New Roman" w:cs="Times"/>
        </w:rPr>
        <w:t>. Si même on s'en rapporte à certains observa</w:t>
      </w:r>
      <w:r w:rsidRPr="009A6BD2">
        <w:rPr>
          <w:rFonts w:ascii="Times New Roman" w:hAnsi="Times New Roman" w:cs="Times"/>
        </w:rPr>
        <w:softHyphen/>
        <w:t>teurs,</w:t>
      </w:r>
      <w:r w:rsidRPr="009A6BD2">
        <w:rPr>
          <w:rFonts w:ascii="Times New Roman" w:hAnsi="Times New Roman" w:cs="Times"/>
        </w:rPr>
        <w:t xml:space="preserve"> il remplirait, après la vie, l'office de juge ; il distinguerait entre les bons et les méchants et ne traiterait pas les uns comme les autres </w:t>
      </w:r>
      <w:r w:rsidRPr="009A6BD2">
        <w:rPr>
          <w:rStyle w:val="Rimandonotaapidipagina"/>
          <w:rFonts w:ascii="Times New Roman" w:hAnsi="Times New Roman" w:cs="Times"/>
        </w:rPr>
        <w:footnoteReference w:id="741"/>
      </w:r>
      <w:r w:rsidRPr="009A6BD2">
        <w:rPr>
          <w:rFonts w:ascii="Times New Roman" w:hAnsi="Times New Roman" w:cs="Times"/>
        </w:rPr>
        <w:t>. En tout cas, il est souvent présenté comme préposé au pays des morts </w:t>
      </w:r>
      <w:r w:rsidRPr="009A6BD2">
        <w:rPr>
          <w:rStyle w:val="Rimandonotaapidipagina"/>
          <w:rFonts w:ascii="Times New Roman" w:hAnsi="Times New Roman" w:cs="Times"/>
        </w:rPr>
        <w:footnoteReference w:id="742"/>
      </w:r>
      <w:r w:rsidRPr="009A6BD2">
        <w:rPr>
          <w:rFonts w:ascii="Times New Roman" w:hAnsi="Times New Roman" w:cs="Times"/>
        </w:rPr>
        <w:t>, et comme accueillant les âmes quand el</w:t>
      </w:r>
      <w:r w:rsidRPr="009A6BD2">
        <w:rPr>
          <w:rFonts w:ascii="Times New Roman" w:hAnsi="Times New Roman" w:cs="Times"/>
        </w:rPr>
        <w:t>les arrivent dans l'au-delà </w:t>
      </w:r>
      <w:r w:rsidRPr="009A6BD2">
        <w:rPr>
          <w:rStyle w:val="Rimandonotaapidipagina"/>
          <w:rFonts w:ascii="Times New Roman" w:hAnsi="Times New Roman" w:cs="Times"/>
        </w:rPr>
        <w:footnoteReference w:id="743"/>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Comme l'initiation est la forme principale du culte tribal, ce sont les rites de l'initiation qui lui sont le plus spécialement rattachés ; il en est le centre. Très souvent, il y est représenté par une image taillée dans un</w:t>
      </w:r>
      <w:r w:rsidRPr="009A6BD2">
        <w:rPr>
          <w:rFonts w:ascii="Times New Roman" w:hAnsi="Times New Roman" w:cs="Times"/>
        </w:rPr>
        <w:t>e écorce d'arbre ou moulée dans la terre. On danse tout autour ; on chante en son honneur ; on lui adresse même de véritables prières </w:t>
      </w:r>
      <w:r w:rsidRPr="009A6BD2">
        <w:rPr>
          <w:rStyle w:val="Rimandonotaapidipagina"/>
          <w:rFonts w:ascii="Times New Roman" w:hAnsi="Times New Roman" w:cs="Times"/>
        </w:rPr>
        <w:footnoteReference w:id="744"/>
      </w:r>
      <w:r w:rsidRPr="009A6BD2">
        <w:rPr>
          <w:rFonts w:ascii="Times New Roman" w:hAnsi="Times New Roman" w:cs="Times"/>
        </w:rPr>
        <w:t>. On explique aux jeunes gens quel est le personnage que cette image figure ; on leur dit son nom secret, celui que les f</w:t>
      </w:r>
      <w:r w:rsidRPr="009A6BD2">
        <w:rPr>
          <w:rFonts w:ascii="Times New Roman" w:hAnsi="Times New Roman" w:cs="Times"/>
        </w:rPr>
        <w:t>emmes et les non-initiés doivent ignorer ; on leur raconte son histoire, le rôle que la tradition lui attribue dans la vie de la tribu. A d'autres moments, on lève les mains vers le ciel où il est censé résider; ou bien on pointe dans la même direction soi</w:t>
      </w:r>
      <w:r w:rsidRPr="009A6BD2">
        <w:rPr>
          <w:rFonts w:ascii="Times New Roman" w:hAnsi="Times New Roman" w:cs="Times"/>
        </w:rPr>
        <w:t>t les armes soit les instruments rituels qu'on manie </w:t>
      </w:r>
      <w:r w:rsidRPr="009A6BD2">
        <w:rPr>
          <w:rStyle w:val="Rimandonotaapidipagina"/>
          <w:rFonts w:ascii="Times New Roman" w:hAnsi="Times New Roman" w:cs="Times"/>
        </w:rPr>
        <w:footnoteReference w:id="745"/>
      </w:r>
      <w:r w:rsidRPr="009A6BD2">
        <w:rPr>
          <w:rFonts w:ascii="Times New Roman" w:hAnsi="Times New Roman" w:cs="Times"/>
        </w:rPr>
        <w:t xml:space="preserve"> ; c'est une façon de se mettre en communication avec lui. On le sent partout présent. Il veille sur le néophyte tandis qu'il est reclus dans la forêt </w:t>
      </w:r>
      <w:r w:rsidRPr="009A6BD2">
        <w:rPr>
          <w:rStyle w:val="Rimandonotaapidipagina"/>
          <w:rFonts w:ascii="Times New Roman" w:hAnsi="Times New Roman" w:cs="Times"/>
        </w:rPr>
        <w:footnoteReference w:id="746"/>
      </w:r>
      <w:r w:rsidRPr="009A6BD2">
        <w:rPr>
          <w:rFonts w:ascii="Times New Roman" w:hAnsi="Times New Roman" w:cs="Times"/>
        </w:rPr>
        <w:t>. Il est attentif à la manière dont les cérémonies</w:t>
      </w:r>
      <w:r w:rsidRPr="009A6BD2">
        <w:rPr>
          <w:rFonts w:ascii="Times New Roman" w:hAnsi="Times New Roman" w:cs="Times"/>
        </w:rPr>
        <w:t xml:space="preserve"> sont célébrées. L'initiation est son culte. Aussi tient-il spécialement la main à ce que ces rites, en particulier, soient exactement observés : quand des fautes ou des négligences sont commises, il les réprime d'une manière terrible </w:t>
      </w:r>
      <w:r w:rsidRPr="009A6BD2">
        <w:rPr>
          <w:rStyle w:val="Rimandonotaapidipagina"/>
          <w:rFonts w:ascii="Times New Roman" w:hAnsi="Times New Roman" w:cs="Times"/>
        </w:rPr>
        <w:footnoteReference w:id="747"/>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L'autorité de cha</w:t>
      </w:r>
      <w:r w:rsidRPr="009A6BD2">
        <w:rPr>
          <w:rFonts w:ascii="Times New Roman" w:hAnsi="Times New Roman" w:cs="Times"/>
        </w:rPr>
        <w:t>cun de ces dieux suprêmes n'est, d'ailleurs, pas limitée à une seule tribu ; mais elle est également reconnue par une pluralité de tribus voisines. Bunjil est adoré dans presque tout l'État de Victoria, Baiame dans une portion notable de la Nouvelle-Galles</w:t>
      </w:r>
      <w:r w:rsidRPr="009A6BD2">
        <w:rPr>
          <w:rFonts w:ascii="Times New Roman" w:hAnsi="Times New Roman" w:cs="Times"/>
        </w:rPr>
        <w:t xml:space="preserve"> du Sud, etc. ; c'est ce qui explique que ces dieux soient en si petit nombre pour une aire géographique relativement étendue. Les cultes dont ils sont l'objet ont donc un caractère international. Il arrive même que ces différentes mythologies se mêlent, s</w:t>
      </w:r>
      <w:r w:rsidRPr="009A6BD2">
        <w:rPr>
          <w:rFonts w:ascii="Times New Roman" w:hAnsi="Times New Roman" w:cs="Times"/>
        </w:rPr>
        <w:t>e combinent, se font mutuellement des emprunts. Ainsi, la plupart des tribus qui croient en Baiame admettent aussi l'existence de Daramulun ; seulement elles lui accordent une moindre dignité. Elles en font un fils ou un frère de Baiame, subordonné à ce de</w:t>
      </w:r>
      <w:r w:rsidRPr="009A6BD2">
        <w:rPr>
          <w:rFonts w:ascii="Times New Roman" w:hAnsi="Times New Roman" w:cs="Times"/>
        </w:rPr>
        <w:t>rnier </w:t>
      </w:r>
      <w:r w:rsidRPr="009A6BD2">
        <w:rPr>
          <w:rStyle w:val="Rimandonotaapidipagina"/>
          <w:rFonts w:ascii="Times New Roman" w:hAnsi="Times New Roman" w:cs="Times"/>
        </w:rPr>
        <w:footnoteReference w:id="748"/>
      </w:r>
      <w:r w:rsidRPr="009A6BD2">
        <w:rPr>
          <w:rFonts w:ascii="Times New Roman" w:hAnsi="Times New Roman" w:cs="Times"/>
        </w:rPr>
        <w:t>. La foi en Daramulun se trouve ainsi répandue, sous des formes diverses, dans toute la Nouvelle-Galles du Sud. Il s'en faut donc que l'internationalisme religieux soit une particularité des religions les plus récentes et les plus avancées. Dès le d</w:t>
      </w:r>
      <w:r w:rsidRPr="009A6BD2">
        <w:rPr>
          <w:rFonts w:ascii="Times New Roman" w:hAnsi="Times New Roman" w:cs="Times"/>
        </w:rPr>
        <w:t>ébut de l'histoire, les croyances religieuses manifestent une tendance à ne pas se renfermer dans une société politique étroitement délimitée ; il y a en elles comme une aptitude naturelle à passer par-dessus les frontières, à se diffuser, à s'inter</w:t>
      </w:r>
      <w:r w:rsidRPr="009A6BD2">
        <w:rPr>
          <w:rFonts w:ascii="Times New Roman" w:hAnsi="Times New Roman" w:cs="Times"/>
        </w:rPr>
        <w:softHyphen/>
        <w:t>na</w:t>
      </w:r>
      <w:r w:rsidRPr="009A6BD2">
        <w:rPr>
          <w:rFonts w:ascii="Times New Roman" w:hAnsi="Times New Roman" w:cs="Times"/>
        </w:rPr>
        <w:softHyphen/>
        <w:t>tio</w:t>
      </w:r>
      <w:r w:rsidRPr="009A6BD2">
        <w:rPr>
          <w:rFonts w:ascii="Times New Roman" w:hAnsi="Times New Roman" w:cs="Times"/>
        </w:rPr>
        <w:t>naliser. Sans doute, il y a eu des peuples et des temps où cette aptitude spontanée a été tenue en échec par des nécessités sociales opposées ; elle ne laisse pas d'être réelle et, comme on voit, très primitive.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Cette conception a paru à Tylor d'une théol</w:t>
      </w:r>
      <w:r w:rsidRPr="009A6BD2">
        <w:rPr>
          <w:rFonts w:ascii="Times New Roman" w:hAnsi="Times New Roman" w:cs="Times"/>
        </w:rPr>
        <w:t>ogie tellement élevée qu'il s'est refusé à y voir autre chose que le produit d'une importation européenne : ce serait une idée chrétienne plus ou moins dénaturée </w:t>
      </w:r>
      <w:r w:rsidRPr="009A6BD2">
        <w:rPr>
          <w:rStyle w:val="Rimandonotaapidipagina"/>
          <w:rFonts w:ascii="Times New Roman" w:hAnsi="Times New Roman" w:cs="Times"/>
        </w:rPr>
        <w:footnoteReference w:id="749"/>
      </w:r>
      <w:r w:rsidRPr="009A6BD2">
        <w:rPr>
          <w:rFonts w:ascii="Times New Roman" w:hAnsi="Times New Roman" w:cs="Times"/>
        </w:rPr>
        <w:t>. A. Lang, au contraire </w:t>
      </w:r>
      <w:r w:rsidRPr="009A6BD2">
        <w:rPr>
          <w:rStyle w:val="Rimandonotaapidipagina"/>
          <w:rFonts w:ascii="Times New Roman" w:hAnsi="Times New Roman" w:cs="Times"/>
        </w:rPr>
        <w:footnoteReference w:id="750"/>
      </w:r>
      <w:r w:rsidRPr="009A6BD2">
        <w:rPr>
          <w:rFonts w:ascii="Times New Roman" w:hAnsi="Times New Roman" w:cs="Times"/>
        </w:rPr>
        <w:t>, la considère comme autochtone ; mais, admet</w:t>
      </w:r>
      <w:r w:rsidRPr="009A6BD2">
        <w:rPr>
          <w:rFonts w:ascii="Times New Roman" w:hAnsi="Times New Roman" w:cs="Times"/>
        </w:rPr>
        <w:softHyphen/>
        <w:t>tant, lui aussi, qu'el</w:t>
      </w:r>
      <w:r w:rsidRPr="009A6BD2">
        <w:rPr>
          <w:rFonts w:ascii="Times New Roman" w:hAnsi="Times New Roman" w:cs="Times"/>
        </w:rPr>
        <w:t>le contraste avec l'ensemble des croyances australiennes et repose sur de tout autres principes, il conclut que les religions d'Australie sont faites de deux systèmes hétérogènes, superposés l'un à l'autre, et dérivent, par conséquent, d'une double origine</w:t>
      </w:r>
      <w:r w:rsidRPr="009A6BD2">
        <w:rPr>
          <w:rFonts w:ascii="Times New Roman" w:hAnsi="Times New Roman" w:cs="Times"/>
        </w:rPr>
        <w:t>. Il y aurait, d'une part, les idées relatives aux totems et aux esprits, qui auraient été suggérées à l'homme par le spectacle de certains phénomènes naturels. Mais en même temps, par une sorte d'intuition sur la nature de laquelle on refuse de s'explique</w:t>
      </w:r>
      <w:r w:rsidRPr="009A6BD2">
        <w:rPr>
          <w:rFonts w:ascii="Times New Roman" w:hAnsi="Times New Roman" w:cs="Times"/>
        </w:rPr>
        <w:t>r </w:t>
      </w:r>
      <w:r w:rsidRPr="009A6BD2">
        <w:rPr>
          <w:rStyle w:val="Rimandonotaapidipagina"/>
          <w:rFonts w:ascii="Times New Roman" w:hAnsi="Times New Roman" w:cs="Times"/>
        </w:rPr>
        <w:footnoteReference w:id="751"/>
      </w:r>
      <w:r w:rsidRPr="009A6BD2">
        <w:rPr>
          <w:rFonts w:ascii="Times New Roman" w:hAnsi="Times New Roman" w:cs="Times"/>
        </w:rPr>
        <w:t>, l'intelligence humaine serait parvenue d'emblée à concevoir un dieu unique, créateur du monde, législateur de l'or</w:t>
      </w:r>
      <w:r w:rsidRPr="009A6BD2">
        <w:rPr>
          <w:rFonts w:ascii="Times New Roman" w:hAnsi="Times New Roman" w:cs="Times"/>
        </w:rPr>
        <w:softHyphen/>
        <w:t>dre moral. Lang estime même que cette idée était plus pure de tout élément étranger à l'origine, et notamment en Australie, que dans les</w:t>
      </w:r>
      <w:r w:rsidRPr="009A6BD2">
        <w:rPr>
          <w:rFonts w:ascii="Times New Roman" w:hAnsi="Times New Roman" w:cs="Times"/>
        </w:rPr>
        <w:t xml:space="preserve"> civilisations qui ont immédiatement suivi. Avec le temps, elle aurait été peu à peu recouverte et obscurcie par la masse toujours crois</w:t>
      </w:r>
      <w:r w:rsidRPr="009A6BD2">
        <w:rPr>
          <w:rFonts w:ascii="Times New Roman" w:hAnsi="Times New Roman" w:cs="Times"/>
        </w:rPr>
        <w:softHyphen/>
        <w:t>sante des superstitions animistes et totémiques. Elle aurait ainsi subi une sorte de dégénéres</w:t>
      </w:r>
      <w:r w:rsidRPr="009A6BD2">
        <w:rPr>
          <w:rFonts w:ascii="Times New Roman" w:hAnsi="Times New Roman" w:cs="Times"/>
        </w:rPr>
        <w:softHyphen/>
        <w:t>cence progressive jusqu'</w:t>
      </w:r>
      <w:r w:rsidRPr="009A6BD2">
        <w:rPr>
          <w:rFonts w:ascii="Times New Roman" w:hAnsi="Times New Roman" w:cs="Times"/>
        </w:rPr>
        <w:t>au jour où, par effet d'une culture privilégiée, elle serait parvenue à se ressaisir et à s'affirmer de nouveau, avec un éclat et une netteté qu'elle n'avait pas dans le principe </w:t>
      </w:r>
      <w:r w:rsidRPr="009A6BD2">
        <w:rPr>
          <w:rStyle w:val="Rimandonotaapidipagina"/>
          <w:rFonts w:ascii="Times New Roman" w:hAnsi="Times New Roman" w:cs="Times"/>
        </w:rPr>
        <w:footnoteReference w:id="752"/>
      </w:r>
      <w:r w:rsidRPr="009A6BD2">
        <w:rPr>
          <w:rFonts w:ascii="Times New Roman" w:hAnsi="Times New Roman" w:cs="Times"/>
        </w:rPr>
        <w:t>.</w:t>
      </w:r>
    </w:p>
    <w:p w:rsidR="009A6BD2" w:rsidRPr="009A6BD2" w:rsidRDefault="003E2D0F">
      <w:pPr>
        <w:rPr>
          <w:rFonts w:ascii="Times New Roman" w:hAnsi="Times New Roman" w:cs="Times"/>
          <w:i/>
          <w:iCs/>
        </w:rPr>
      </w:pPr>
    </w:p>
    <w:p w:rsidR="009A6BD2" w:rsidRPr="009A6BD2" w:rsidRDefault="003E2D0F">
      <w:pPr>
        <w:jc w:val="both"/>
        <w:rPr>
          <w:rFonts w:ascii="Times New Roman" w:hAnsi="Times New Roman" w:cs="Times"/>
        </w:rPr>
      </w:pPr>
      <w:r w:rsidRPr="009A6BD2">
        <w:rPr>
          <w:rFonts w:ascii="Times New Roman" w:hAnsi="Times New Roman" w:cs="Times"/>
        </w:rPr>
        <w:t>Mais les faits ne comportent ni l'hypothèse sceptique de Tylor ni l'inter</w:t>
      </w:r>
      <w:r w:rsidRPr="009A6BD2">
        <w:rPr>
          <w:rFonts w:ascii="Times New Roman" w:hAnsi="Times New Roman" w:cs="Times"/>
        </w:rPr>
        <w:t>prétation théologique de Lang.</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 d'abord, il est aujourd'hui certain que les idées relatives au grand dieu tribal sont d'origine indigène. Elles ont été observées alors que l'influence des missionnaires n'avait pas encore eu le temps de se faire sentir</w:t>
      </w:r>
      <w:r w:rsidRPr="009A6BD2">
        <w:rPr>
          <w:rFonts w:ascii="Times New Roman" w:hAnsi="Times New Roman" w:cs="Times"/>
        </w:rPr>
        <w:t> </w:t>
      </w:r>
      <w:r w:rsidRPr="009A6BD2">
        <w:rPr>
          <w:rStyle w:val="Rimandonotaapidipagina"/>
          <w:rFonts w:ascii="Times New Roman" w:hAnsi="Times New Roman" w:cs="Times"/>
        </w:rPr>
        <w:footnoteReference w:id="753"/>
      </w:r>
      <w:r w:rsidRPr="009A6BD2">
        <w:rPr>
          <w:rFonts w:ascii="Times New Roman" w:hAnsi="Times New Roman" w:cs="Times"/>
        </w:rPr>
        <w:t>. Mais il ne s'ensuit pas qu'il faille les attribuer à une mystérieuse révélation. Bien loin qu'elles dérivent d'une autre source que les croyances proprement totémiques, elles n'en sont, au contraire, que l'aboutissement logique et la forme la plus haut</w:t>
      </w:r>
      <w:r w:rsidRPr="009A6BD2">
        <w:rPr>
          <w:rFonts w:ascii="Times New Roman" w:hAnsi="Times New Roman" w:cs="Times"/>
        </w:rPr>
        <w:t>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Nous avons vu, en effet, que la notion des ancêtres mythiques est impliquée dans les prin</w:t>
      </w:r>
      <w:r w:rsidRPr="009A6BD2">
        <w:rPr>
          <w:rFonts w:ascii="Times New Roman" w:hAnsi="Times New Roman" w:cs="Times"/>
        </w:rPr>
        <w:softHyphen/>
        <w:t>cipes mêmes sur lesquels repose le totémisme ; car chacun d'eux est un être totémique. Or, si les grands dieux leur sont certainement supérieurs, cependant il n'y</w:t>
      </w:r>
      <w:r w:rsidRPr="009A6BD2">
        <w:rPr>
          <w:rFonts w:ascii="Times New Roman" w:hAnsi="Times New Roman" w:cs="Times"/>
        </w:rPr>
        <w:t xml:space="preserve"> a, entre les uns et les autres, que des différences de degrés ; on passe des premiers aux seconds sans solution de continuité. Un grand dieu, en effet, est lui-même un ancêtre d'une importance particulière. On nous parle souvent de lui comme d'un homme, d</w:t>
      </w:r>
      <w:r w:rsidRPr="009A6BD2">
        <w:rPr>
          <w:rFonts w:ascii="Times New Roman" w:hAnsi="Times New Roman" w:cs="Times"/>
        </w:rPr>
        <w:t>oué sans doute de pouvoirs plus qu'humains, mais qui a  vécu Sur terre d'une vie tout humaine </w:t>
      </w:r>
      <w:r w:rsidRPr="009A6BD2">
        <w:rPr>
          <w:rStyle w:val="Rimandonotaapidipagina"/>
          <w:rFonts w:ascii="Times New Roman" w:hAnsi="Times New Roman" w:cs="Times"/>
        </w:rPr>
        <w:footnoteReference w:id="754"/>
      </w:r>
      <w:r w:rsidRPr="009A6BD2">
        <w:rPr>
          <w:rFonts w:ascii="Times New Roman" w:hAnsi="Times New Roman" w:cs="Times"/>
        </w:rPr>
        <w:t>. On le dépeint comme un grand chasseur </w:t>
      </w:r>
      <w:r w:rsidRPr="009A6BD2">
        <w:rPr>
          <w:rStyle w:val="Rimandonotaapidipagina"/>
          <w:rFonts w:ascii="Times New Roman" w:hAnsi="Times New Roman" w:cs="Times"/>
        </w:rPr>
        <w:footnoteReference w:id="755"/>
      </w:r>
      <w:r w:rsidRPr="009A6BD2">
        <w:rPr>
          <w:rFonts w:ascii="Times New Roman" w:hAnsi="Times New Roman" w:cs="Times"/>
        </w:rPr>
        <w:t>, un puissant magicien </w:t>
      </w:r>
      <w:r w:rsidRPr="009A6BD2">
        <w:rPr>
          <w:rStyle w:val="Rimandonotaapidipagina"/>
          <w:rFonts w:ascii="Times New Roman" w:hAnsi="Times New Roman" w:cs="Times"/>
        </w:rPr>
        <w:footnoteReference w:id="756"/>
      </w:r>
      <w:r w:rsidRPr="009A6BD2">
        <w:rPr>
          <w:rFonts w:ascii="Times New Roman" w:hAnsi="Times New Roman" w:cs="Times"/>
        </w:rPr>
        <w:t>, le fondateur de la tribu </w:t>
      </w:r>
      <w:r w:rsidRPr="009A6BD2">
        <w:rPr>
          <w:rStyle w:val="Rimandonotaapidipagina"/>
          <w:rFonts w:ascii="Times New Roman" w:hAnsi="Times New Roman" w:cs="Times"/>
        </w:rPr>
        <w:footnoteReference w:id="757"/>
      </w:r>
      <w:r w:rsidRPr="009A6BD2">
        <w:rPr>
          <w:rFonts w:ascii="Times New Roman" w:hAnsi="Times New Roman" w:cs="Times"/>
        </w:rPr>
        <w:t>. C'est le premier des hommes </w:t>
      </w:r>
      <w:r w:rsidRPr="009A6BD2">
        <w:rPr>
          <w:rStyle w:val="Rimandonotaapidipagina"/>
          <w:rFonts w:ascii="Times New Roman" w:hAnsi="Times New Roman" w:cs="Times"/>
        </w:rPr>
        <w:footnoteReference w:id="758"/>
      </w:r>
      <w:r w:rsidRPr="009A6BD2">
        <w:rPr>
          <w:rFonts w:ascii="Times New Roman" w:hAnsi="Times New Roman" w:cs="Times"/>
        </w:rPr>
        <w:t>. Une légende le représente même sous</w:t>
      </w:r>
      <w:r w:rsidRPr="009A6BD2">
        <w:rPr>
          <w:rFonts w:ascii="Times New Roman" w:hAnsi="Times New Roman" w:cs="Times"/>
        </w:rPr>
        <w:t xml:space="preserve"> les traits d'un vieillard fatigué qui peut à peine se mouvoir </w:t>
      </w:r>
      <w:r w:rsidRPr="009A6BD2">
        <w:rPr>
          <w:rStyle w:val="Rimandonotaapidipagina"/>
          <w:rFonts w:ascii="Times New Roman" w:hAnsi="Times New Roman" w:cs="Times"/>
        </w:rPr>
        <w:footnoteReference w:id="759"/>
      </w:r>
      <w:r w:rsidRPr="009A6BD2">
        <w:rPr>
          <w:rFonts w:ascii="Times New Roman" w:hAnsi="Times New Roman" w:cs="Times"/>
        </w:rPr>
        <w:t>. S'il a existé chez les Dieri un dieu suprême appelé Mura-mura, le mot est signifi</w:t>
      </w:r>
      <w:r w:rsidRPr="009A6BD2">
        <w:rPr>
          <w:rFonts w:ascii="Times New Roman" w:hAnsi="Times New Roman" w:cs="Times"/>
        </w:rPr>
        <w:softHyphen/>
        <w:t>catif ; car il sert à désigner la classe des ancêtres. De même, Nuralie, nom du grand dieu dans les tribus d</w:t>
      </w:r>
      <w:r w:rsidRPr="009A6BD2">
        <w:rPr>
          <w:rFonts w:ascii="Times New Roman" w:hAnsi="Times New Roman" w:cs="Times"/>
        </w:rPr>
        <w:t>e la rivière Murray, est parfois employé comme une expression collective qui s'applique à l'ensemble des êtres mythiques que la tradition place à l'origine des choses </w:t>
      </w:r>
      <w:r w:rsidRPr="009A6BD2">
        <w:rPr>
          <w:rStyle w:val="Rimandonotaapidipagina"/>
          <w:rFonts w:ascii="Times New Roman" w:hAnsi="Times New Roman" w:cs="Times"/>
        </w:rPr>
        <w:footnoteReference w:id="760"/>
      </w:r>
      <w:r w:rsidRPr="009A6BD2">
        <w:rPr>
          <w:rFonts w:ascii="Times New Roman" w:hAnsi="Times New Roman" w:cs="Times"/>
        </w:rPr>
        <w:t>. Ce sont des personnages tout à fait comparables à ceux de l'Alcheringa </w:t>
      </w:r>
      <w:r w:rsidRPr="009A6BD2">
        <w:rPr>
          <w:rStyle w:val="Rimandonotaapidipagina"/>
          <w:rFonts w:ascii="Times New Roman" w:hAnsi="Times New Roman" w:cs="Times"/>
        </w:rPr>
        <w:footnoteReference w:id="761"/>
      </w:r>
      <w:r w:rsidRPr="009A6BD2">
        <w:rPr>
          <w:rFonts w:ascii="Times New Roman" w:hAnsi="Times New Roman" w:cs="Times"/>
        </w:rPr>
        <w:t>. Déjà, nous a</w:t>
      </w:r>
      <w:r w:rsidRPr="009A6BD2">
        <w:rPr>
          <w:rFonts w:ascii="Times New Roman" w:hAnsi="Times New Roman" w:cs="Times"/>
        </w:rPr>
        <w:t>vons rencontré dans le Queensland un dieu Anjea ou Anjir, qui fait les hommes et qui, pourtant, semble bien n'être que le premier des humains </w:t>
      </w:r>
      <w:r w:rsidRPr="009A6BD2">
        <w:rPr>
          <w:rStyle w:val="Rimandonotaapidipagina"/>
          <w:rFonts w:ascii="Times New Roman" w:hAnsi="Times New Roman" w:cs="Times"/>
        </w:rPr>
        <w:footnoteReference w:id="762"/>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Ce qui a aidé la pensée des Australiens à passer de la pluralité des génies ancestraux à l'idée du dieu tribal</w:t>
      </w:r>
      <w:r w:rsidRPr="009A6BD2">
        <w:rPr>
          <w:rFonts w:ascii="Times New Roman" w:hAnsi="Times New Roman" w:cs="Times"/>
        </w:rPr>
        <w:t>, c'est qu'entre ces deux extrêmes un moyen terme s'est intercalé qui a servi de transition : ce sont les héros civilisateurs. Les êtres fabuleux que nous appelons de ce nom sont, en effet, de simples ancêtres auxquels la mythologie a attribué un rôle émin</w:t>
      </w:r>
      <w:r w:rsidRPr="009A6BD2">
        <w:rPr>
          <w:rFonts w:ascii="Times New Roman" w:hAnsi="Times New Roman" w:cs="Times"/>
        </w:rPr>
        <w:t>ent dans l'histoire de la tribu et qu'elle a, pour cette raison, mis au-dessus des autres. Nous avons même vu qu'ils faisaient régulièrement partie de l'organisation totémique : Mangarkun</w:t>
      </w:r>
      <w:r w:rsidRPr="009A6BD2">
        <w:rPr>
          <w:rFonts w:ascii="Times New Roman" w:hAnsi="Times New Roman" w:cs="Times"/>
        </w:rPr>
        <w:softHyphen/>
        <w:t>jer</w:t>
      </w:r>
      <w:r w:rsidRPr="009A6BD2">
        <w:rPr>
          <w:rFonts w:ascii="Times New Roman" w:hAnsi="Times New Roman" w:cs="Times"/>
        </w:rPr>
        <w:softHyphen/>
        <w:t>kunja est du totem du Lézard et Putiaputia du totem du Chat sauv</w:t>
      </w:r>
      <w:r w:rsidRPr="009A6BD2">
        <w:rPr>
          <w:rFonts w:ascii="Times New Roman" w:hAnsi="Times New Roman" w:cs="Times"/>
        </w:rPr>
        <w:t>age. Mais d'un autre côté, les fonctions qu'ils sont censés remplir ou avoir remplies ressemblent de très près à celles qui incombent au grand dieu. Lui aussi passe pour avoir initié les hommes aux arts de la civilisation, pour avoir été le fondateur des p</w:t>
      </w:r>
      <w:r w:rsidRPr="009A6BD2">
        <w:rPr>
          <w:rFonts w:ascii="Times New Roman" w:hAnsi="Times New Roman" w:cs="Times"/>
        </w:rPr>
        <w:t xml:space="preserve">rincipales institutions sociales, le révélateur des grandes cérémonies religieuses qui restent placées sous son contrôle. S'il est le père des hommes, c'est pour les avoir fabriqués plutôt qu'engendrés ; mais Mangarkunjerkunja en a fait autant. Avant lui, </w:t>
      </w:r>
      <w:r w:rsidRPr="009A6BD2">
        <w:rPr>
          <w:rFonts w:ascii="Times New Roman" w:hAnsi="Times New Roman" w:cs="Times"/>
        </w:rPr>
        <w:t>il n'y avait pas d'hommes, mais seulement des masses de chair informes où les différents membres et même les différents individus n'étaient pas séparés les uns des autres. C'est lui qui a sculpté cette matière première et qui en a tiré des êtres proprement</w:t>
      </w:r>
      <w:r w:rsidRPr="009A6BD2">
        <w:rPr>
          <w:rFonts w:ascii="Times New Roman" w:hAnsi="Times New Roman" w:cs="Times"/>
        </w:rPr>
        <w:t xml:space="preserve"> humains </w:t>
      </w:r>
      <w:r w:rsidRPr="009A6BD2">
        <w:rPr>
          <w:rStyle w:val="Rimandonotaapidipagina"/>
          <w:rFonts w:ascii="Times New Roman" w:hAnsi="Times New Roman" w:cs="Times"/>
        </w:rPr>
        <w:footnoteReference w:id="763"/>
      </w:r>
      <w:r w:rsidRPr="009A6BD2">
        <w:rPr>
          <w:rFonts w:ascii="Times New Roman" w:hAnsi="Times New Roman" w:cs="Times"/>
        </w:rPr>
        <w:t>. Entre ce mode de fabrication et celui que le mythe dont nous avons parlé prête à Bunjil, il n'y a que des nuances. Ce qui montre bien, d'ailleurs, le lien qui unit l'une à l'autre ces deux sortes de figures, c'est qu'un rapport de filiation est</w:t>
      </w:r>
      <w:r w:rsidRPr="009A6BD2">
        <w:rPr>
          <w:rFonts w:ascii="Times New Roman" w:hAnsi="Times New Roman" w:cs="Times"/>
        </w:rPr>
        <w:t xml:space="preserve"> parfois établi entre elles. Chez les Kurnai, Tundun, le héros du </w:t>
      </w:r>
      <w:r w:rsidRPr="009A6BD2">
        <w:rPr>
          <w:rFonts w:ascii="Times New Roman" w:hAnsi="Times New Roman" w:cs="Times"/>
          <w:i/>
          <w:iCs/>
        </w:rPr>
        <w:t xml:space="preserve">bull-roarer, </w:t>
      </w:r>
      <w:r w:rsidRPr="009A6BD2">
        <w:rPr>
          <w:rFonts w:ascii="Times New Roman" w:hAnsi="Times New Roman" w:cs="Times"/>
        </w:rPr>
        <w:t>est le fils du grand dieu Mungan-ngaua </w:t>
      </w:r>
      <w:r w:rsidRPr="009A6BD2">
        <w:rPr>
          <w:rStyle w:val="Rimandonotaapidipagina"/>
          <w:rFonts w:ascii="Times New Roman" w:hAnsi="Times New Roman" w:cs="Times"/>
        </w:rPr>
        <w:footnoteReference w:id="764"/>
      </w:r>
      <w:r w:rsidRPr="009A6BD2">
        <w:rPr>
          <w:rFonts w:ascii="Times New Roman" w:hAnsi="Times New Roman" w:cs="Times"/>
        </w:rPr>
        <w:t>. De même, chez les Euahlayi, Daramulun, fils ou frère de Baiame, est identique à Gayandi qui est l'équivalent du Tundun des Kurnai </w:t>
      </w:r>
      <w:r w:rsidRPr="009A6BD2">
        <w:rPr>
          <w:rStyle w:val="Rimandonotaapidipagina"/>
          <w:rFonts w:ascii="Times New Roman" w:hAnsi="Times New Roman" w:cs="Times"/>
        </w:rPr>
        <w:footnoteReference w:id="76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A</w:t>
      </w:r>
      <w:r w:rsidRPr="009A6BD2">
        <w:rPr>
          <w:rFonts w:ascii="Times New Roman" w:hAnsi="Times New Roman" w:cs="Times"/>
        </w:rPr>
        <w:t>ssurément, de tous ces faits il ne faut pas conclure que le grand dieu n'est rien de plus qu'un héros civilisateur. Il y a des cas où ces deux personnages sont nettement différenciés. Mais s'ils ne se confondent pas, ils sont, du moins, parents. Aussi arri</w:t>
      </w:r>
      <w:r w:rsidRPr="009A6BD2">
        <w:rPr>
          <w:rFonts w:ascii="Times New Roman" w:hAnsi="Times New Roman" w:cs="Times"/>
        </w:rPr>
        <w:t>ve-t-il qu'on a quelque mal à les distinguer ; il en est qui peuvent être également bien classés dans l'une ou dans l'autre catégorie. Ainsi, nous avons parlé d'Atnatu comme d'un héros civilisateur; mais il est bien près d'être un grand dieu.</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La notion du</w:t>
      </w:r>
      <w:r w:rsidRPr="009A6BD2">
        <w:rPr>
          <w:rFonts w:ascii="Times New Roman" w:hAnsi="Times New Roman" w:cs="Times"/>
        </w:rPr>
        <w:t xml:space="preserve"> dieu suprême dépend même si étroitement de l'ensemble des croyances totémiques qu'elle en porte encore la marque. Tundun est un divin héros tout proche, comme on vient de le voir, de la divinité tribale ; or le même mot, chez les Kurnai, veut dire totem </w:t>
      </w:r>
      <w:r w:rsidRPr="009A6BD2">
        <w:rPr>
          <w:rStyle w:val="Rimandonotaapidipagina"/>
          <w:rFonts w:ascii="Times New Roman" w:hAnsi="Times New Roman" w:cs="Times"/>
        </w:rPr>
        <w:footnoteReference w:id="766"/>
      </w:r>
      <w:r w:rsidRPr="009A6BD2">
        <w:rPr>
          <w:rFonts w:ascii="Times New Roman" w:hAnsi="Times New Roman" w:cs="Times"/>
        </w:rPr>
        <w:t>. De même, chez les Arunta, Altjira est le nom du grand dieu ; c'est aussi le nom du totem maternel </w:t>
      </w:r>
      <w:r w:rsidRPr="009A6BD2">
        <w:rPr>
          <w:rStyle w:val="Rimandonotaapidipagina"/>
          <w:rFonts w:ascii="Times New Roman" w:hAnsi="Times New Roman" w:cs="Times"/>
        </w:rPr>
        <w:footnoteReference w:id="767"/>
      </w:r>
      <w:r w:rsidRPr="009A6BD2">
        <w:rPr>
          <w:rFonts w:ascii="Times New Roman" w:hAnsi="Times New Roman" w:cs="Times"/>
        </w:rPr>
        <w:t>. Il y a plus ; nombre de grands dieux ont un aspect manifestement totémique. Daramulun est un aigle-faucon </w:t>
      </w:r>
      <w:r w:rsidRPr="009A6BD2">
        <w:rPr>
          <w:rStyle w:val="Rimandonotaapidipagina"/>
          <w:rFonts w:ascii="Times New Roman" w:hAnsi="Times New Roman" w:cs="Times"/>
        </w:rPr>
        <w:footnoteReference w:id="768"/>
      </w:r>
      <w:r w:rsidRPr="009A6BD2">
        <w:rPr>
          <w:rFonts w:ascii="Times New Roman" w:hAnsi="Times New Roman" w:cs="Times"/>
        </w:rPr>
        <w:t xml:space="preserve"> ; il a pour mère une émou </w:t>
      </w:r>
      <w:r w:rsidRPr="009A6BD2">
        <w:rPr>
          <w:rStyle w:val="Rimandonotaapidipagina"/>
          <w:rFonts w:ascii="Times New Roman" w:hAnsi="Times New Roman" w:cs="Times"/>
        </w:rPr>
        <w:footnoteReference w:id="769"/>
      </w:r>
      <w:r w:rsidRPr="009A6BD2">
        <w:rPr>
          <w:rFonts w:ascii="Times New Roman" w:hAnsi="Times New Roman" w:cs="Times"/>
        </w:rPr>
        <w:t>. C'est sous les t</w:t>
      </w:r>
      <w:r w:rsidRPr="009A6BD2">
        <w:rPr>
          <w:rFonts w:ascii="Times New Roman" w:hAnsi="Times New Roman" w:cs="Times"/>
        </w:rPr>
        <w:t>raits d'un émou que Baiame est également représenté </w:t>
      </w:r>
      <w:r w:rsidRPr="009A6BD2">
        <w:rPr>
          <w:rStyle w:val="Rimandonotaapidipagina"/>
          <w:rFonts w:ascii="Times New Roman" w:hAnsi="Times New Roman" w:cs="Times"/>
        </w:rPr>
        <w:footnoteReference w:id="770"/>
      </w:r>
      <w:r w:rsidRPr="009A6BD2">
        <w:rPr>
          <w:rFonts w:ascii="Times New Roman" w:hAnsi="Times New Roman" w:cs="Times"/>
        </w:rPr>
        <w:t>. L'Altjira des Arunta a lui même des jambes d'émou </w:t>
      </w:r>
      <w:r w:rsidRPr="009A6BD2">
        <w:rPr>
          <w:rStyle w:val="Rimandonotaapidipagina"/>
          <w:rFonts w:ascii="Times New Roman" w:hAnsi="Times New Roman" w:cs="Times"/>
        </w:rPr>
        <w:footnoteReference w:id="771"/>
      </w:r>
      <w:r w:rsidRPr="009A6BD2">
        <w:rPr>
          <w:rFonts w:ascii="Times New Roman" w:hAnsi="Times New Roman" w:cs="Times"/>
        </w:rPr>
        <w:t>. Nuralie, avant d'être le nom d'un grand dieu, désignait, comme nous avons vu, les ancêtres fondateurs de la tribu; or ils étaient, les uns des corbe</w:t>
      </w:r>
      <w:r w:rsidRPr="009A6BD2">
        <w:rPr>
          <w:rFonts w:ascii="Times New Roman" w:hAnsi="Times New Roman" w:cs="Times"/>
        </w:rPr>
        <w:t>aux et les autres des faucons </w:t>
      </w:r>
      <w:r w:rsidRPr="009A6BD2">
        <w:rPr>
          <w:rStyle w:val="Rimandonotaapidipagina"/>
          <w:rFonts w:ascii="Times New Roman" w:hAnsi="Times New Roman" w:cs="Times"/>
        </w:rPr>
        <w:footnoteReference w:id="772"/>
      </w:r>
      <w:r w:rsidRPr="009A6BD2">
        <w:rPr>
          <w:rFonts w:ascii="Times New Roman" w:hAnsi="Times New Roman" w:cs="Times"/>
        </w:rPr>
        <w:t>. Bunjil, d'après Howitt </w:t>
      </w:r>
      <w:r w:rsidRPr="009A6BD2">
        <w:rPr>
          <w:rStyle w:val="Rimandonotaapidipagina"/>
          <w:rFonts w:ascii="Times New Roman" w:hAnsi="Times New Roman" w:cs="Times"/>
        </w:rPr>
        <w:footnoteReference w:id="773"/>
      </w:r>
      <w:r w:rsidRPr="009A6BD2">
        <w:rPr>
          <w:rFonts w:ascii="Times New Roman" w:hAnsi="Times New Roman" w:cs="Times"/>
        </w:rPr>
        <w:t>, est toujours figuré sous une forme humaine ; cependant, le même mot sert à désigner un totem de phratrie, l'aigle-faucon. Un de ses fils, au moins, est un des totems que comprend la phratrie à laqu</w:t>
      </w:r>
      <w:r w:rsidRPr="009A6BD2">
        <w:rPr>
          <w:rFonts w:ascii="Times New Roman" w:hAnsi="Times New Roman" w:cs="Times"/>
        </w:rPr>
        <w:t>elle il a donné on emprunté son nom </w:t>
      </w:r>
      <w:r w:rsidRPr="009A6BD2">
        <w:rPr>
          <w:rStyle w:val="Rimandonotaapidipagina"/>
          <w:rFonts w:ascii="Times New Roman" w:hAnsi="Times New Roman" w:cs="Times"/>
        </w:rPr>
        <w:footnoteReference w:id="774"/>
      </w:r>
      <w:r w:rsidRPr="009A6BD2">
        <w:rPr>
          <w:rFonts w:ascii="Times New Roman" w:hAnsi="Times New Roman" w:cs="Times"/>
        </w:rPr>
        <w:t>. Son frère est Pallyan, la chauve-souris ; or celle-ci sert de totem sexuel aux hommes dans de nombreuses tribus de Victoria </w:t>
      </w:r>
      <w:r w:rsidRPr="009A6BD2">
        <w:rPr>
          <w:rStyle w:val="Rimandonotaapidipagina"/>
          <w:rFonts w:ascii="Times New Roman" w:hAnsi="Times New Roman" w:cs="Times"/>
        </w:rPr>
        <w:footnoteReference w:id="775"/>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On peut même aller plus loin et préciser davantage le rapport que soutiennent les grands </w:t>
      </w:r>
      <w:r w:rsidRPr="009A6BD2">
        <w:rPr>
          <w:rFonts w:ascii="Times New Roman" w:hAnsi="Times New Roman" w:cs="Times"/>
        </w:rPr>
        <w:t>dieux avec le système totémique. Daramulun, comme Bunjil, est un aigle-faucon et l'on sait que cet animal est un totem de phratrie dans un grand nombre de tribus du Sud-Est </w:t>
      </w:r>
      <w:r w:rsidRPr="009A6BD2">
        <w:rPr>
          <w:rStyle w:val="Rimandonotaapidipagina"/>
          <w:rFonts w:ascii="Times New Roman" w:hAnsi="Times New Roman" w:cs="Times"/>
        </w:rPr>
        <w:footnoteReference w:id="776"/>
      </w:r>
      <w:r w:rsidRPr="009A6BD2">
        <w:rPr>
          <w:rFonts w:ascii="Times New Roman" w:hAnsi="Times New Roman" w:cs="Times"/>
        </w:rPr>
        <w:t>. Nuralie, avons-nous dit, semble avoir été d'abord un terme collectif qui désigna</w:t>
      </w:r>
      <w:r w:rsidRPr="009A6BD2">
        <w:rPr>
          <w:rFonts w:ascii="Times New Roman" w:hAnsi="Times New Roman" w:cs="Times"/>
        </w:rPr>
        <w:t>it indistincte</w:t>
      </w:r>
      <w:r w:rsidRPr="009A6BD2">
        <w:rPr>
          <w:rFonts w:ascii="Times New Roman" w:hAnsi="Times New Roman" w:cs="Times"/>
        </w:rPr>
        <w:softHyphen/>
        <w:t>ment soit des aigles-faucons soit des corbeaux ; or, dans les tribus où ce mythe a été observé, le cor</w:t>
      </w:r>
      <w:r w:rsidRPr="009A6BD2">
        <w:rPr>
          <w:rFonts w:ascii="Times New Roman" w:hAnsi="Times New Roman" w:cs="Times"/>
        </w:rPr>
        <w:softHyphen/>
        <w:t>beau sert de totem à l'une des deux phratries, l'aigle-faucon à l'autre </w:t>
      </w:r>
      <w:r w:rsidRPr="009A6BD2">
        <w:rPr>
          <w:rStyle w:val="Rimandonotaapidipagina"/>
          <w:rFonts w:ascii="Times New Roman" w:hAnsi="Times New Roman" w:cs="Times"/>
        </w:rPr>
        <w:footnoteReference w:id="777"/>
      </w:r>
      <w:r w:rsidRPr="009A6BD2">
        <w:rPr>
          <w:rFonts w:ascii="Times New Roman" w:hAnsi="Times New Roman" w:cs="Times"/>
        </w:rPr>
        <w:t>. D'autre part, l'histoire légendaire des grands dieux rappelle d</w:t>
      </w:r>
      <w:r w:rsidRPr="009A6BD2">
        <w:rPr>
          <w:rFonts w:ascii="Times New Roman" w:hAnsi="Times New Roman" w:cs="Times"/>
        </w:rPr>
        <w:t>e très près celle des totems de phratrie. Les mythes, et parfois les rites, commémorent les luttes que chacune de ces divinités eut à soutenir contre un oiseau carnassier dont elle ne triompha pas sans peine. Bunjil, ou le premier homme, après avoir fait l</w:t>
      </w:r>
      <w:r w:rsidRPr="009A6BD2">
        <w:rPr>
          <w:rFonts w:ascii="Times New Roman" w:hAnsi="Times New Roman" w:cs="Times"/>
        </w:rPr>
        <w:t>e second homme, Karween, entra en conflit avec lui, et, au cours d'une sorte de duel, il le blessa grièvement et le transforma en corbeau </w:t>
      </w:r>
      <w:r w:rsidRPr="009A6BD2">
        <w:rPr>
          <w:rStyle w:val="Rimandonotaapidipagina"/>
          <w:rFonts w:ascii="Times New Roman" w:hAnsi="Times New Roman" w:cs="Times"/>
        </w:rPr>
        <w:footnoteReference w:id="778"/>
      </w:r>
      <w:r w:rsidRPr="009A6BD2">
        <w:rPr>
          <w:rFonts w:ascii="Times New Roman" w:hAnsi="Times New Roman" w:cs="Times"/>
        </w:rPr>
        <w:t>. Les deux espèces de Nuralie sont présentées comme deux groupes ennemis qui, primitivement, étaient sans cesse en gu</w:t>
      </w:r>
      <w:r w:rsidRPr="009A6BD2">
        <w:rPr>
          <w:rFonts w:ascii="Times New Roman" w:hAnsi="Times New Roman" w:cs="Times"/>
        </w:rPr>
        <w:t>erre </w:t>
      </w:r>
      <w:r w:rsidRPr="009A6BD2">
        <w:rPr>
          <w:rStyle w:val="Rimandonotaapidipagina"/>
          <w:rFonts w:ascii="Times New Roman" w:hAnsi="Times New Roman" w:cs="Times"/>
        </w:rPr>
        <w:footnoteReference w:id="779"/>
      </w:r>
      <w:r w:rsidRPr="009A6BD2">
        <w:rPr>
          <w:rFonts w:ascii="Times New Roman" w:hAnsi="Times New Roman" w:cs="Times"/>
        </w:rPr>
        <w:t>. Baiame, de son côté, a à lutter contre Mullian, l'aigle-faucon canni</w:t>
      </w:r>
      <w:r w:rsidRPr="009A6BD2">
        <w:rPr>
          <w:rFonts w:ascii="Times New Roman" w:hAnsi="Times New Roman" w:cs="Times"/>
        </w:rPr>
        <w:softHyphen/>
        <w:t>bale, qui, d'ailleurs, est identique à Daramulun </w:t>
      </w:r>
      <w:r w:rsidRPr="009A6BD2">
        <w:rPr>
          <w:rStyle w:val="Rimandonotaapidipagina"/>
          <w:rFonts w:ascii="Times New Roman" w:hAnsi="Times New Roman" w:cs="Times"/>
        </w:rPr>
        <w:footnoteReference w:id="780"/>
      </w:r>
      <w:r w:rsidRPr="009A6BD2">
        <w:rPr>
          <w:rFonts w:ascii="Times New Roman" w:hAnsi="Times New Roman" w:cs="Times"/>
        </w:rPr>
        <w:t>. Or nous avons vu qu'entre les totems de phratrie il y a également une sorte d'hostilité constitutionnelle. Ce parallélisme achè</w:t>
      </w:r>
      <w:r w:rsidRPr="009A6BD2">
        <w:rPr>
          <w:rFonts w:ascii="Times New Roman" w:hAnsi="Times New Roman" w:cs="Times"/>
        </w:rPr>
        <w:t>ve de prouver que la mythologie des grands dieux et celle de ces totems sont étroitement parentes. Cette parenté apparaîtra comme plus évidente encore si l'on remarque que l'émule du dieu est régulièrement ou le corbeau ou l'aigle-faucon qui sont, d'une ma</w:t>
      </w:r>
      <w:r w:rsidRPr="009A6BD2">
        <w:rPr>
          <w:rFonts w:ascii="Times New Roman" w:hAnsi="Times New Roman" w:cs="Times"/>
        </w:rPr>
        <w:t>nière générale, des totems de phratrie </w:t>
      </w:r>
      <w:r w:rsidRPr="009A6BD2">
        <w:rPr>
          <w:rStyle w:val="Rimandonotaapidipagina"/>
          <w:rFonts w:ascii="Times New Roman" w:hAnsi="Times New Roman" w:cs="Times"/>
        </w:rPr>
        <w:footnoteReference w:id="781"/>
      </w:r>
      <w:r w:rsidRPr="009A6BD2">
        <w:rPr>
          <w:rFonts w:ascii="Times New Roman" w:hAnsi="Times New Roman" w:cs="Times"/>
        </w:rPr>
        <w:t>.</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 xml:space="preserve">Baiame, Daramulun, Nuralie, Bunjil semblent donc bien être des totems de phratrie qui ont été divinisés ; et voici comment on peut concevoir que se fit cette apothéose. C'est manifestement dans les assemblées qui </w:t>
      </w:r>
      <w:r w:rsidRPr="009A6BD2">
        <w:rPr>
          <w:rFonts w:ascii="Times New Roman" w:hAnsi="Times New Roman" w:cs="Times"/>
        </w:rPr>
        <w:t xml:space="preserve">ont lieu à propos de l'initiation que s'élabora cette conception ; car les grands dieux ne jouent un rôle de quelque importance que dans ces rites, tandis qu'ils sont étrangers aux autres cérémonies religieuses. D'ailleurs, comme l'initiation est la forme </w:t>
      </w:r>
      <w:r w:rsidRPr="009A6BD2">
        <w:rPr>
          <w:rFonts w:ascii="Times New Roman" w:hAnsi="Times New Roman" w:cs="Times"/>
        </w:rPr>
        <w:t>principale du culte tribal, c'est seulement à cette occasion qu'une mythologie tribale pouvait prendre naissance. Déjà nous avons vu comment le rituel de la circoncision et celui de la subincision tendaient spontanément à se personnifier sous la forme de h</w:t>
      </w:r>
      <w:r w:rsidRPr="009A6BD2">
        <w:rPr>
          <w:rFonts w:ascii="Times New Roman" w:hAnsi="Times New Roman" w:cs="Times"/>
        </w:rPr>
        <w:t>éros civilisateurs. Seulement, ces héros n'exerçaient aucune suprématie ; ils étaient sur le même pied que les autres bienfaiteurs légendaires de la société. Mais là où la tribu prit un plus vif sentiment d'elle-même, ce sentiment s'incarna tout naturellem</w:t>
      </w:r>
      <w:r w:rsidRPr="009A6BD2">
        <w:rPr>
          <w:rFonts w:ascii="Times New Roman" w:hAnsi="Times New Roman" w:cs="Times"/>
        </w:rPr>
        <w:t>ent dans un personnage qui en devint le symbole. Pour s'expliquer à eux-mêmes les liens qui les unissaient les uns aux autres, à quelque clan qu'ils appartinssent, les hommes imaginèrent qu'ils étaient issus d'une même souche, qu'ils étaient les enfants d'</w:t>
      </w:r>
      <w:r w:rsidRPr="009A6BD2">
        <w:rPr>
          <w:rFonts w:ascii="Times New Roman" w:hAnsi="Times New Roman" w:cs="Times"/>
        </w:rPr>
        <w:t>un même père à qui ils devaient l'existence sans que lui la dût à personne. Le dieu de l'initiation était tout désigné pour ce rôle; car, suivant une expression qui revient souvent sur les lèvres des indigènes, l'initiation a précisément pour objet de fair</w:t>
      </w:r>
      <w:r w:rsidRPr="009A6BD2">
        <w:rPr>
          <w:rFonts w:ascii="Times New Roman" w:hAnsi="Times New Roman" w:cs="Times"/>
        </w:rPr>
        <w:t xml:space="preserve">e, de fabriquer des hommes. On attribua donc à ce dieu un pouvoir créateur et il se trouva, pour toutes ces raisons, investi d'un prestige qui le mit bien au-dessus des autres héros de la mythologie. Ceux-ci devinrent ses subordonnés, ses auxiliaires ; on </w:t>
      </w:r>
      <w:r w:rsidRPr="009A6BD2">
        <w:rPr>
          <w:rFonts w:ascii="Times New Roman" w:hAnsi="Times New Roman" w:cs="Times"/>
        </w:rPr>
        <w:t xml:space="preserve">fit d'eux ses fils ou ses frères puînés comme Tundun, Gayandi, Karween, Pallyan, etc. Mais il existait déjà d'autres êtres sacres qui occupaient dans le système religieux de la tribu une place également éminente : ce sont les totems de phratrie. Là où ils </w:t>
      </w:r>
      <w:r w:rsidRPr="009A6BD2">
        <w:rPr>
          <w:rFonts w:ascii="Times New Roman" w:hAnsi="Times New Roman" w:cs="Times"/>
        </w:rPr>
        <w:t xml:space="preserve">se sont maintenus, ils passent pour tenir sous leur dépendance les totems des clans. Ils avaient ainsi tout ce qu'il fallait pour devenir eux-mêmes des divinités tribales. Il était donc naturel qu'une confusion partielle s'établît entre ces deux sortes de </w:t>
      </w:r>
      <w:r w:rsidRPr="009A6BD2">
        <w:rPr>
          <w:rFonts w:ascii="Times New Roman" w:hAnsi="Times New Roman" w:cs="Times"/>
        </w:rPr>
        <w:t>figures mythiques ; c'est ainsi que l'un des deux totems fondamen</w:t>
      </w:r>
      <w:r w:rsidRPr="009A6BD2">
        <w:rPr>
          <w:rFonts w:ascii="Times New Roman" w:hAnsi="Times New Roman" w:cs="Times"/>
        </w:rPr>
        <w:softHyphen/>
        <w:t>taux de la tribu prêta ses traits au grand dieu. Mais comme il fallait expliquer pourquoi, seul, l'un d'eux fut appelé à cette dignité dont l'autre était exclu, on supposa que ce dernier, au</w:t>
      </w:r>
      <w:r w:rsidRPr="009A6BD2">
        <w:rPr>
          <w:rFonts w:ascii="Times New Roman" w:hAnsi="Times New Roman" w:cs="Times"/>
        </w:rPr>
        <w:t xml:space="preserve"> cours d'une lutte contre son rival, avait eu le dessous et que son exclusion avait été la suite de sa défaite. L'idée fut d'autant plus facilement admise qu'elle était d'accord avec l'ensemble de la mythologie, puisque les totems de phratrie sont générale</w:t>
      </w:r>
      <w:r w:rsidRPr="009A6BD2">
        <w:rPr>
          <w:rFonts w:ascii="Times New Roman" w:hAnsi="Times New Roman" w:cs="Times"/>
        </w:rPr>
        <w:t>ment considérés comme ennemis l'un de l'autre.</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Un mythe que Mrs. Parker a observé chez les Euahlayi </w:t>
      </w:r>
      <w:r w:rsidRPr="009A6BD2">
        <w:rPr>
          <w:rStyle w:val="Rimandonotaapidipagina"/>
          <w:rFonts w:ascii="Times New Roman" w:hAnsi="Times New Roman" w:cs="Times"/>
        </w:rPr>
        <w:footnoteReference w:id="782"/>
      </w:r>
      <w:r w:rsidRPr="009A6BD2">
        <w:rPr>
          <w:rFonts w:ascii="Times New Roman" w:hAnsi="Times New Roman" w:cs="Times"/>
        </w:rPr>
        <w:t xml:space="preserve"> peut servir à confirmer cette explication ; car il ne fait que la traduire sous une forme figurée. On raconte que, dans cette tribu, les totems n'étaient</w:t>
      </w:r>
      <w:r w:rsidRPr="009A6BD2">
        <w:rPr>
          <w:rFonts w:ascii="Times New Roman" w:hAnsi="Times New Roman" w:cs="Times"/>
        </w:rPr>
        <w:t xml:space="preserve"> d'abord que les noms donnés aux différentes parties du corps de Baiame. Les clans seraient donc, en un sens, comme des fragments du corps divin. N'est-ce pas une autre manière de dire que le grand dieu est la synthèse de tous les totems et, par conséquent</w:t>
      </w:r>
      <w:r w:rsidRPr="009A6BD2">
        <w:rPr>
          <w:rFonts w:ascii="Times New Roman" w:hAnsi="Times New Roman" w:cs="Times"/>
        </w:rPr>
        <w:t>, la personnification de l'unité tribale ?</w:t>
      </w:r>
    </w:p>
    <w:p w:rsidR="009A6BD2" w:rsidRPr="009A6BD2" w:rsidRDefault="003E2D0F">
      <w:pPr>
        <w:rPr>
          <w:rFonts w:ascii="Times New Roman" w:hAnsi="Times New Roman" w:cs="Times"/>
        </w:rPr>
      </w:pPr>
    </w:p>
    <w:p w:rsidR="009A6BD2" w:rsidRPr="009A6BD2" w:rsidRDefault="003E2D0F">
      <w:pPr>
        <w:jc w:val="both"/>
        <w:rPr>
          <w:rFonts w:ascii="Times New Roman" w:hAnsi="Times New Roman" w:cs="Times"/>
          <w:i/>
          <w:iCs/>
        </w:rPr>
      </w:pPr>
      <w:r w:rsidRPr="009A6BD2">
        <w:rPr>
          <w:rFonts w:ascii="Times New Roman" w:hAnsi="Times New Roman" w:cs="Times"/>
        </w:rPr>
        <w:t>Mais il prit en même temps un caractère international. En effet, les membres de la tribu à laquelle appartiennent les jeunes initiés ne sont pas les seuls qui assistent aux cérémonies de l'initiation ; des représ</w:t>
      </w:r>
      <w:r w:rsidRPr="009A6BD2">
        <w:rPr>
          <w:rFonts w:ascii="Times New Roman" w:hAnsi="Times New Roman" w:cs="Times"/>
        </w:rPr>
        <w:t>entants des tribus voisines sont spécialement convoqués à ces fêtes qui sont des sortes de foires internationales, à la fois religieuses et laïques </w:t>
      </w:r>
      <w:r w:rsidRPr="009A6BD2">
        <w:rPr>
          <w:rStyle w:val="Rimandonotaapidipagina"/>
          <w:rFonts w:ascii="Times New Roman" w:hAnsi="Times New Roman" w:cs="Times"/>
        </w:rPr>
        <w:footnoteReference w:id="783"/>
      </w:r>
      <w:r w:rsidRPr="009A6BD2">
        <w:rPr>
          <w:rFonts w:ascii="Times New Roman" w:hAnsi="Times New Roman" w:cs="Times"/>
        </w:rPr>
        <w:t>. Des croyances qui s'élaborent dans des milieux sociaux ainsi composés ne peuvent rester le patrimoine exc</w:t>
      </w:r>
      <w:r w:rsidRPr="009A6BD2">
        <w:rPr>
          <w:rFonts w:ascii="Times New Roman" w:hAnsi="Times New Roman" w:cs="Times"/>
        </w:rPr>
        <w:t xml:space="preserve">lusif d'une nationalité déterminée. L'étranger à qui elles ont été révélées les rapporte dans sa tribu natale, une fois qu'il y est rentré ; et comme, tôt ou tard, il est forcé d'inviter à son tour ses hôtes de la veille, il se fait, de société à société, </w:t>
      </w:r>
      <w:r w:rsidRPr="009A6BD2">
        <w:rPr>
          <w:rFonts w:ascii="Times New Roman" w:hAnsi="Times New Roman" w:cs="Times"/>
        </w:rPr>
        <w:t>de continuels échanges d'idées. C'est ainsi qu'une mythologie internationale se constitua dont le grand dieu se trouva tout naturellement être l'élément essentiel, puisqu'elle avait son origine dans les rites de l'initiation qu'il a pour fonction de person</w:t>
      </w:r>
      <w:r w:rsidRPr="009A6BD2">
        <w:rPr>
          <w:rFonts w:ascii="Times New Roman" w:hAnsi="Times New Roman" w:cs="Times"/>
        </w:rPr>
        <w:t>nifier. Son nom passa donc d'une langue dans l'autre avec les représenta</w:t>
      </w:r>
      <w:r w:rsidRPr="009A6BD2">
        <w:rPr>
          <w:rFonts w:ascii="Times New Roman" w:hAnsi="Times New Roman" w:cs="Times"/>
        </w:rPr>
        <w:softHyphen/>
        <w:t>tions qui y étaient attachées. Le fait que les noms des phratries sont généralement communs à des tribus très différentes ne put que faciliter cette diffusion. L'internationalisme des</w:t>
      </w:r>
      <w:r w:rsidRPr="009A6BD2">
        <w:rPr>
          <w:rFonts w:ascii="Times New Roman" w:hAnsi="Times New Roman" w:cs="Times"/>
        </w:rPr>
        <w:t xml:space="preserve"> totems de phratrie fraya les voies à celui du grand dieu.</w:t>
      </w:r>
    </w:p>
    <w:p w:rsidR="009A6BD2" w:rsidRPr="009A6BD2" w:rsidRDefault="003E2D0F">
      <w:pPr>
        <w:pStyle w:val="Corpodeltesto2"/>
        <w:jc w:val="both"/>
        <w:rPr>
          <w:rFonts w:ascii="Times New Roman" w:hAnsi="Times New Roman" w:cs="Times"/>
        </w:rPr>
      </w:pPr>
    </w:p>
    <w:p w:rsidR="009A6BD2" w:rsidRPr="009A6BD2" w:rsidRDefault="003E2D0F">
      <w:pPr>
        <w:pStyle w:val="Corpodeltesto2"/>
        <w:jc w:val="both"/>
        <w:rPr>
          <w:rFonts w:ascii="Times New Roman" w:hAnsi="Times New Roman" w:cs="Times"/>
        </w:rPr>
      </w:pPr>
    </w:p>
    <w:p w:rsidR="009A6BD2" w:rsidRPr="009A6BD2" w:rsidRDefault="003E2D0F">
      <w:pPr>
        <w:jc w:val="both"/>
        <w:rPr>
          <w:rFonts w:ascii="Times New Roman" w:hAnsi="Times New Roman" w:cs="Times"/>
        </w:rPr>
      </w:pPr>
    </w:p>
    <w:p w:rsidR="009A6BD2" w:rsidRPr="009A6BD2" w:rsidRDefault="003E2D0F">
      <w:pPr>
        <w:pStyle w:val="section"/>
        <w:rPr>
          <w:rFonts w:ascii="Times New Roman" w:hAnsi="Times New Roman"/>
        </w:rPr>
      </w:pPr>
      <w:bookmarkStart w:id="56" w:name="livre_2_chap_9_5"/>
      <w:r w:rsidRPr="009A6BD2">
        <w:rPr>
          <w:rFonts w:ascii="Times New Roman" w:hAnsi="Times New Roman"/>
        </w:rPr>
        <w:t>V</w:t>
      </w:r>
    </w:p>
    <w:bookmarkEnd w:id="56"/>
    <w:p w:rsidR="009A6BD2" w:rsidRPr="009A6BD2" w:rsidRDefault="003E2D0F">
      <w:pPr>
        <w:tabs>
          <w:tab w:val="right" w:pos="9360"/>
        </w:tabs>
        <w:jc w:val="both"/>
        <w:rPr>
          <w:rFonts w:ascii="Times New Roman" w:hAnsi="Times New Roman" w:cs="Times"/>
        </w:rPr>
      </w:pPr>
    </w:p>
    <w:p w:rsidR="009A6BD2" w:rsidRPr="009A6BD2" w:rsidRDefault="003E2D0F">
      <w:pPr>
        <w:ind w:firstLine="0"/>
        <w:jc w:val="both"/>
        <w:rPr>
          <w:rStyle w:val="Collegamentoipertestuale"/>
          <w:rFonts w:ascii="Times New Roman" w:hAnsi="Times New Roman" w:cs="Times"/>
          <w:sz w:val="20"/>
          <w:szCs w:val="20"/>
          <w:effect w:val="none"/>
        </w:rPr>
      </w:pPr>
      <w:r w:rsidRPr="009A6BD2">
        <w:rPr>
          <w:rFonts w:ascii="Times New Roman" w:hAnsi="Times New Roman" w:cs="Times"/>
          <w:sz w:val="20"/>
          <w:szCs w:val="20"/>
          <w:effect w:val="none"/>
        </w:rPr>
        <w:fldChar w:fldCharType="begin"/>
      </w:r>
      <w:r w:rsidRPr="009A6BD2">
        <w:rPr>
          <w:rFonts w:ascii="Times New Roman" w:hAnsi="Times New Roman" w:cs="Times"/>
          <w:sz w:val="20"/>
          <w:szCs w:val="20"/>
          <w:effect w:val="none"/>
        </w:rPr>
        <w:instrText xml:space="preserve"> HYPERLINK  \l "tdm_livre_II" </w:instrText>
      </w:r>
      <w:r w:rsidRPr="009A6BD2">
        <w:rPr>
          <w:rFonts w:ascii="Times New Roman" w:hAnsi="Times New Roman" w:cs="Times"/>
          <w:szCs w:val="20"/>
          <w:effect w:val="none"/>
        </w:rPr>
      </w:r>
      <w:r w:rsidRPr="009A6BD2">
        <w:rPr>
          <w:rFonts w:ascii="Times New Roman" w:hAnsi="Times New Roman" w:cs="Times"/>
          <w:sz w:val="20"/>
          <w:szCs w:val="20"/>
          <w:effect w:val="none"/>
        </w:rPr>
        <w:fldChar w:fldCharType="separate"/>
      </w:r>
      <w:r w:rsidRPr="009A6BD2">
        <w:rPr>
          <w:rStyle w:val="Collegamentoipertestuale"/>
          <w:rFonts w:ascii="Times New Roman" w:hAnsi="Times New Roman" w:cs="Times"/>
          <w:sz w:val="20"/>
          <w:szCs w:val="20"/>
          <w:effect w:val="none"/>
        </w:rPr>
        <w:t xml:space="preserve">.  </w:t>
      </w:r>
      <w:r w:rsidRPr="009A6BD2">
        <w:rPr>
          <w:rStyle w:val="Collegamentoipertestuale"/>
          <w:rFonts w:ascii="Times New Roman" w:hAnsi="Times New Roman" w:cs="Times"/>
          <w:sz w:val="20"/>
          <w:szCs w:val="20"/>
          <w:effect w:val="none"/>
        </w:rPr>
        <w:sym w:font="Wingdings" w:char="F0DF"/>
      </w:r>
    </w:p>
    <w:p w:rsidR="009A6BD2" w:rsidRPr="009A6BD2" w:rsidRDefault="003E2D0F">
      <w:pPr>
        <w:tabs>
          <w:tab w:val="right" w:pos="9360"/>
        </w:tabs>
        <w:jc w:val="both"/>
        <w:rPr>
          <w:rFonts w:ascii="Times New Roman" w:hAnsi="Times New Roman" w:cs="Times"/>
        </w:rPr>
      </w:pPr>
      <w:r w:rsidRPr="009A6BD2">
        <w:rPr>
          <w:rFonts w:ascii="Times New Roman" w:hAnsi="Times New Roman" w:cs="Times"/>
          <w:sz w:val="20"/>
          <w:szCs w:val="20"/>
          <w:effect w:val="none"/>
        </w:rPr>
        <w:fldChar w:fldCharType="end"/>
      </w:r>
    </w:p>
    <w:p w:rsidR="009A6BD2" w:rsidRPr="009A6BD2" w:rsidRDefault="003E2D0F">
      <w:pPr>
        <w:jc w:val="both"/>
        <w:rPr>
          <w:rFonts w:ascii="Times New Roman" w:hAnsi="Times New Roman" w:cs="Times"/>
        </w:rPr>
      </w:pPr>
      <w:r w:rsidRPr="009A6BD2">
        <w:rPr>
          <w:rFonts w:ascii="Times New Roman" w:hAnsi="Times New Roman" w:cs="Times"/>
        </w:rPr>
        <w:t>Nous voici parvenus à la conception la plus haute à laquelle se soit élevé le totémisme. C'est le point où il rejoint et prépare les religions qui suiv</w:t>
      </w:r>
      <w:r w:rsidRPr="009A6BD2">
        <w:rPr>
          <w:rFonts w:ascii="Times New Roman" w:hAnsi="Times New Roman" w:cs="Times"/>
        </w:rPr>
        <w:t>ront, et il nous aide à les compren</w:t>
      </w:r>
      <w:r w:rsidRPr="009A6BD2">
        <w:rPr>
          <w:rFonts w:ascii="Times New Roman" w:hAnsi="Times New Roman" w:cs="Times"/>
        </w:rPr>
        <w:softHyphen/>
        <w:t>dre. Mais en même temps, on peut voir que cette notion culminante se relie sans interruption aux croyances plus grossières que nous avons analysées en premier lieu.</w:t>
      </w:r>
    </w:p>
    <w:p w:rsidR="009A6BD2" w:rsidRPr="009A6BD2" w:rsidRDefault="003E2D0F">
      <w:pPr>
        <w:jc w:val="both"/>
        <w:rPr>
          <w:rFonts w:ascii="Times New Roman" w:hAnsi="Times New Roman" w:cs="Times"/>
        </w:rPr>
      </w:pPr>
    </w:p>
    <w:p w:rsidR="009A6BD2" w:rsidRPr="009A6BD2" w:rsidRDefault="003E2D0F">
      <w:pPr>
        <w:tabs>
          <w:tab w:val="right" w:pos="9360"/>
        </w:tabs>
        <w:jc w:val="both"/>
        <w:rPr>
          <w:rFonts w:ascii="Times New Roman" w:hAnsi="Times New Roman" w:cs="Times"/>
        </w:rPr>
      </w:pPr>
      <w:r w:rsidRPr="009A6BD2">
        <w:rPr>
          <w:rFonts w:ascii="Times New Roman" w:hAnsi="Times New Roman" w:cs="Times"/>
        </w:rPr>
        <w:t>Le grand dieu tribal, en effet, n'est qu'un esprit anc</w:t>
      </w:r>
      <w:r w:rsidRPr="009A6BD2">
        <w:rPr>
          <w:rFonts w:ascii="Times New Roman" w:hAnsi="Times New Roman" w:cs="Times"/>
        </w:rPr>
        <w:t>es</w:t>
      </w:r>
      <w:r w:rsidRPr="009A6BD2">
        <w:rPr>
          <w:rFonts w:ascii="Times New Roman" w:hAnsi="Times New Roman" w:cs="Times"/>
        </w:rPr>
        <w:softHyphen/>
        <w:t>tral qui a fini par conquérir Une place éminente. Les esprits ancestraux ne sont que des entités forgées à l'image des âmes individuelles de la genèse desquelles ils sont destinés à rendre compte. Les âmes, à leur tour, ne sont que la forme que prennent</w:t>
      </w:r>
      <w:r w:rsidRPr="009A6BD2">
        <w:rPr>
          <w:rFonts w:ascii="Times New Roman" w:hAnsi="Times New Roman" w:cs="Times"/>
        </w:rPr>
        <w:t>, en s'individualisant dans des corps particuliers, les forces impersonnelles que nous avons trouvées à la base du totémisme. L'unité du système en égale la complexité.</w:t>
      </w:r>
    </w:p>
    <w:p w:rsidR="009A6BD2" w:rsidRPr="009A6BD2" w:rsidRDefault="003E2D0F">
      <w:pPr>
        <w:jc w:val="both"/>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Dans ce travail d'élaboration, l'idée d'âme a, sans doute, joué un rôle important : c'</w:t>
      </w:r>
      <w:r w:rsidRPr="009A6BD2">
        <w:rPr>
          <w:rFonts w:ascii="Times New Roman" w:hAnsi="Times New Roman" w:cs="Times"/>
        </w:rPr>
        <w:t>est par elle que l'idée de personnalité a été introduite dans le domaine religieux. Mais il s'en faut que, comme le soutiennent les théoriciens de l'animisme, elle contienne toute la religion en germe. D'abord, elle suppose avant elle là. notion de mana ou</w:t>
      </w:r>
      <w:r w:rsidRPr="009A6BD2">
        <w:rPr>
          <w:rFonts w:ascii="Times New Roman" w:hAnsi="Times New Roman" w:cs="Times"/>
        </w:rPr>
        <w:t xml:space="preserve"> de principe totémique dont elle n'est qu'un mode particulier. Puis, si les esprits et les dieux ne pouvaient être conçus avant l'âme, ils sont pourtant autre chose que de simples âmes humaines, libérées par la mort; car d'où leur viendraient leurs pouvoir</w:t>
      </w:r>
      <w:r w:rsidRPr="009A6BD2">
        <w:rPr>
          <w:rFonts w:ascii="Times New Roman" w:hAnsi="Times New Roman" w:cs="Times"/>
        </w:rPr>
        <w:t>s surhumains ? L'idée d'âme a seulement servi à orienter l'imagi</w:t>
      </w:r>
      <w:r w:rsidRPr="009A6BD2">
        <w:rPr>
          <w:rFonts w:ascii="Times New Roman" w:hAnsi="Times New Roman" w:cs="Times"/>
        </w:rPr>
        <w:softHyphen/>
        <w:t>na</w:t>
      </w:r>
      <w:r w:rsidRPr="009A6BD2">
        <w:rPr>
          <w:rFonts w:ascii="Times New Roman" w:hAnsi="Times New Roman" w:cs="Times"/>
        </w:rPr>
        <w:softHyphen/>
        <w:t xml:space="preserve">tion mythologique dans une nouvelle direction, à lui suggérer des constructions d'un genre nouveau. Mais la matière de ces constructions a été empruntée, non à la représentation de l'âme, </w:t>
      </w:r>
      <w:r w:rsidRPr="009A6BD2">
        <w:rPr>
          <w:rFonts w:ascii="Times New Roman" w:hAnsi="Times New Roman" w:cs="Times"/>
        </w:rPr>
        <w:t>mais à ce réservoir de forces anonymes et diffuses qui constituent le fond primitif des religions. La création de personnalités mythiques n'a été qu'une autre façon de penser ces forces essentielles.</w:t>
      </w:r>
    </w:p>
    <w:p w:rsidR="009A6BD2" w:rsidRPr="009A6BD2" w:rsidRDefault="003E2D0F">
      <w:pPr>
        <w:jc w:val="both"/>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Quant à la notion de grand dieu, elle est due tout enti</w:t>
      </w:r>
      <w:r w:rsidRPr="009A6BD2">
        <w:rPr>
          <w:rFonts w:ascii="Times New Roman" w:hAnsi="Times New Roman" w:cs="Times"/>
        </w:rPr>
        <w:t>ère à un sentiment dont nous avons déjà observé l'action dans la genèse des croyances les plus spécifiquement totémiques : c'est le sentiment tribal. Nous avons vu, en effet, que le totémisme n'était pas l’œuvre isolée des clans, mais qu'il s'élaborait tou</w:t>
      </w:r>
      <w:r w:rsidRPr="009A6BD2">
        <w:rPr>
          <w:rFonts w:ascii="Times New Roman" w:hAnsi="Times New Roman" w:cs="Times"/>
        </w:rPr>
        <w:t>jours au sein d'une tribu qui avait, à quelque degré, conscience de son unité. C'est pour cette raison que les différents cultes particuliers à chaque clan se rejoignent et se complètent de manière à former un tout solidaire </w:t>
      </w:r>
      <w:r w:rsidRPr="009A6BD2">
        <w:rPr>
          <w:rStyle w:val="Rimandonotaapidipagina"/>
          <w:rFonts w:ascii="Times New Roman" w:hAnsi="Times New Roman" w:cs="Times"/>
        </w:rPr>
        <w:footnoteReference w:id="784"/>
      </w:r>
      <w:r w:rsidRPr="009A6BD2">
        <w:rPr>
          <w:rFonts w:ascii="Times New Roman" w:hAnsi="Times New Roman" w:cs="Times"/>
        </w:rPr>
        <w:t>. Or c'est ce même senti</w:t>
      </w:r>
      <w:r w:rsidRPr="009A6BD2">
        <w:rPr>
          <w:rFonts w:ascii="Times New Roman" w:hAnsi="Times New Roman" w:cs="Times"/>
        </w:rPr>
        <w:softHyphen/>
        <w:t xml:space="preserve">ment </w:t>
      </w:r>
      <w:r w:rsidRPr="009A6BD2">
        <w:rPr>
          <w:rFonts w:ascii="Times New Roman" w:hAnsi="Times New Roman" w:cs="Times"/>
        </w:rPr>
        <w:t>de l'unité tribale qui s'exprime dans la conception d'un dieu suprême, commun à la tribu tout entière. Ce sont donc bien les mêmes causes qui sont agissantes de la base au sommet de ce système religieux.</w:t>
      </w:r>
    </w:p>
    <w:p w:rsidR="009A6BD2" w:rsidRPr="009A6BD2" w:rsidRDefault="003E2D0F">
      <w:pPr>
        <w:jc w:val="both"/>
        <w:rPr>
          <w:rFonts w:ascii="Times New Roman" w:hAnsi="Times New Roman" w:cs="Times"/>
        </w:rPr>
      </w:pPr>
    </w:p>
    <w:p w:rsidR="009A6BD2" w:rsidRPr="009A6BD2" w:rsidRDefault="003E2D0F">
      <w:pPr>
        <w:jc w:val="both"/>
        <w:rPr>
          <w:rFonts w:ascii="Times New Roman" w:hAnsi="Times New Roman" w:cs="Times"/>
        </w:rPr>
      </w:pPr>
      <w:r w:rsidRPr="009A6BD2">
        <w:rPr>
          <w:rFonts w:ascii="Times New Roman" w:hAnsi="Times New Roman" w:cs="Times"/>
        </w:rPr>
        <w:t>Toutefois, nous avons considéré jusqu'ici les repré</w:t>
      </w:r>
      <w:r w:rsidRPr="009A6BD2">
        <w:rPr>
          <w:rFonts w:ascii="Times New Roman" w:hAnsi="Times New Roman" w:cs="Times"/>
        </w:rPr>
        <w:t>sentations religieuses comme si elles se suffisaient et pouvaient s'expliquer par elles-mêmes. En fait, elles sont inséparables des rites, non seulement parce qu'elles s'y manifestent, mais parce qu'elles en subissent, par contre coup, l'influence. Sans do</w:t>
      </w:r>
      <w:r w:rsidRPr="009A6BD2">
        <w:rPr>
          <w:rFonts w:ascii="Times New Roman" w:hAnsi="Times New Roman" w:cs="Times"/>
        </w:rPr>
        <w:t>ute, le culte dépend des croyances, mais il réagit sur elles. Pour les mieux comprendre, il importe donc de le mieux connaître. Le moment est venu d'en aborder l'étude.</w:t>
      </w:r>
    </w:p>
    <w:p w:rsidR="009A6BD2" w:rsidRPr="009A6BD2" w:rsidRDefault="003E2D0F">
      <w:pPr>
        <w:ind w:firstLine="0"/>
        <w:rPr>
          <w:rFonts w:ascii="Times New Roman" w:hAnsi="Times New Roman"/>
        </w:rPr>
      </w:pPr>
    </w:p>
    <w:sectPr w:rsidR="009A6BD2" w:rsidRPr="009A6BD2" w:rsidSect="009A6BD2">
      <w:headerReference w:type="default" r:id="rId11"/>
      <w:pgSz w:w="12240" w:h="15840"/>
      <w:pgMar w:top="1800" w:right="1080" w:bottom="1440" w:left="1800" w:header="720" w:footer="720" w:gutter="360"/>
      <w:pgNumType w:start="9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2D0F" w:rsidRDefault="003E2D0F">
      <w:r>
        <w:separator/>
      </w:r>
    </w:p>
  </w:endnote>
  <w:endnote w:type="continuationSeparator" w:id="0">
    <w:p w:rsidR="003E2D0F" w:rsidRDefault="003E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Garamond">
    <w:altName w:val="DokChampa"/>
    <w:panose1 w:val="020B0604020202020204"/>
    <w:charset w:val="00"/>
    <w:family w:val="auto"/>
    <w:pitch w:val="variable"/>
    <w:sig w:usb0="03000000"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3" w:usb1="00000000" w:usb2="00000000" w:usb3="00000000" w:csb0="00000001" w:csb1="00000000"/>
  </w:font>
  <w:font w:name="Arial-BoldMT">
    <w:altName w:val="Arial"/>
    <w:panose1 w:val="020B0604020202020204"/>
    <w:charset w:val="4D"/>
    <w:family w:val="swiss"/>
    <w:notTrueType/>
    <w:pitch w:val="default"/>
    <w:sig w:usb0="03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2D0F" w:rsidRDefault="003E2D0F">
      <w:pPr>
        <w:ind w:firstLine="0"/>
      </w:pPr>
      <w:r>
        <w:separator/>
      </w:r>
    </w:p>
  </w:footnote>
  <w:footnote w:type="continuationSeparator" w:id="0">
    <w:p w:rsidR="003E2D0F" w:rsidRDefault="003E2D0F">
      <w:pPr>
        <w:ind w:firstLine="0"/>
      </w:pPr>
      <w:r>
        <w:separator/>
      </w:r>
    </w:p>
  </w:footnote>
  <w:footnote w:id="1">
    <w:p w:rsidR="009A6BD2" w:rsidRDefault="003E2D0F">
      <w:pPr>
        <w:pStyle w:val="Testonotaapidipagina"/>
      </w:pPr>
      <w:r>
        <w:rPr>
          <w:rStyle w:val="Rimandonotaapidipagina"/>
        </w:rPr>
        <w:footnoteRef/>
      </w:r>
      <w:r>
        <w:t xml:space="preserve"> </w:t>
      </w:r>
      <w:r>
        <w:tab/>
        <w:t>C'est la définition que Cicéron donne de la gentilité : Gentiles surit qui inter se</w:t>
      </w:r>
      <w:r>
        <w:t xml:space="preserve"> eodem nomine surit (Top. 6).</w:t>
      </w:r>
    </w:p>
  </w:footnote>
  <w:footnote w:id="2">
    <w:p w:rsidR="009A6BD2" w:rsidRDefault="003E2D0F">
      <w:pPr>
        <w:pStyle w:val="Testonotaapidipagina"/>
      </w:pPr>
      <w:r>
        <w:rPr>
          <w:rStyle w:val="Rimandonotaapidipagina"/>
        </w:rPr>
        <w:footnoteRef/>
      </w:r>
      <w:r>
        <w:t xml:space="preserve"> </w:t>
      </w:r>
      <w:r>
        <w:tab/>
      </w:r>
      <w:r w:rsidRPr="009A6BD2">
        <w:t>On peut dire, d'une manière générale, que le clan est un groupe familial où la parenté résulte uniquement de la communauté du nom; c'est en ce sens que la gens est un clan. Mais, dans le genre ainsi constitué, le clan totém</w:t>
      </w:r>
      <w:r w:rsidRPr="009A6BD2">
        <w:t>ique est une espèce particulière.</w:t>
      </w:r>
    </w:p>
  </w:footnote>
  <w:footnote w:id="3">
    <w:p w:rsidR="009A6BD2" w:rsidRDefault="003E2D0F">
      <w:pPr>
        <w:pStyle w:val="Testonotaapidipagina"/>
      </w:pPr>
      <w:r>
        <w:rPr>
          <w:rStyle w:val="Rimandonotaapidipagina"/>
        </w:rPr>
        <w:footnoteRef/>
      </w:r>
      <w:r>
        <w:t xml:space="preserve"> </w:t>
      </w:r>
      <w:r>
        <w:tab/>
        <w:t>Dans une certaine mesure, ces liens de solidarité s'étendent même par delà les frontières de la tribu. Quand des individus de tribus différentes ont un même totem, ils ont les uns envers les autres des devoirs particuli</w:t>
      </w:r>
      <w:r>
        <w:t xml:space="preserve">ers. Le fait nous est expressément affirmé de certaines tribus de l'Amérique du Nord (v. FRAZER, Tolemism and Exogamy, III, pp. 57, 81, 299, 356-357). Les textes relatifs à l'Australie sont moins explicites. Il est cependant probable que la prohibition du </w:t>
      </w:r>
      <w:r>
        <w:t>mariage entre membres d'un même totem est internationale.</w:t>
      </w:r>
    </w:p>
  </w:footnote>
  <w:footnote w:id="4">
    <w:p w:rsidR="009A6BD2" w:rsidRDefault="003E2D0F">
      <w:pPr>
        <w:pStyle w:val="Testonotaapidipagina"/>
      </w:pPr>
      <w:r>
        <w:rPr>
          <w:rStyle w:val="Rimandonotaapidipagina"/>
        </w:rPr>
        <w:footnoteRef/>
      </w:r>
      <w:r>
        <w:t xml:space="preserve"> </w:t>
      </w:r>
      <w:r>
        <w:tab/>
        <w:t>MORGAN, Ancient Society, p. 165.</w:t>
      </w:r>
    </w:p>
  </w:footnote>
  <w:footnote w:id="5">
    <w:p w:rsidR="009A6BD2" w:rsidRDefault="003E2D0F">
      <w:pPr>
        <w:pStyle w:val="Testonotaapidipagina"/>
      </w:pPr>
      <w:r>
        <w:rPr>
          <w:rStyle w:val="Rimandonotaapidipagina"/>
        </w:rPr>
        <w:footnoteRef/>
      </w:r>
      <w:r>
        <w:t xml:space="preserve"> </w:t>
      </w:r>
      <w:r>
        <w:tab/>
        <w:t>En Australie, les mots employés varient suivant les tribus. Dans les régions observées par Grey, on disait Kobong ; les Dieri disent Murdu (HOWITT, Nat. Tr. of</w:t>
      </w:r>
      <w:r>
        <w:t xml:space="preserve"> S. E. Aust., p. 91), les Narrinyeri, Mgaitye (TAPLIN, in CURR, Il, p. 244), les Warramunga, Mungai ou Mungaii (North. Tr., p. 754), etc.</w:t>
      </w:r>
    </w:p>
  </w:footnote>
  <w:footnote w:id="6">
    <w:p w:rsidR="009A6BD2" w:rsidRDefault="003E2D0F">
      <w:pPr>
        <w:pStyle w:val="Testonotaapidipagina"/>
      </w:pPr>
      <w:r>
        <w:rPr>
          <w:rStyle w:val="Rimandonotaapidipagina"/>
        </w:rPr>
        <w:footnoteRef/>
      </w:r>
      <w:r>
        <w:t xml:space="preserve"> </w:t>
      </w:r>
      <w:r>
        <w:tab/>
        <w:t>Indian Tribes of the United States, IV, p. 86.</w:t>
      </w:r>
    </w:p>
  </w:footnote>
  <w:footnote w:id="7">
    <w:p w:rsidR="009A6BD2" w:rsidRDefault="003E2D0F">
      <w:pPr>
        <w:pStyle w:val="Testonotaapidipagina"/>
      </w:pPr>
      <w:r>
        <w:rPr>
          <w:rStyle w:val="Rimandonotaapidipagina"/>
        </w:rPr>
        <w:footnoteRef/>
      </w:r>
      <w:r>
        <w:t xml:space="preserve"> </w:t>
      </w:r>
      <w:r>
        <w:tab/>
        <w:t>Et cependant cette fortune du mot est d'autant plus regrettable q</w:t>
      </w:r>
      <w:r>
        <w:t xml:space="preserve">ue nous ne savons même pas avec exactitude comment il s'orthographie. Les uns écrivent totam, les autres toodaim, ou dodaim ou ododam, (v. FRAZER, Totemism, p. 1). Le sens même du terme n'est pas exactement déterminé. Si l'on s'en rapporte au langage tenu </w:t>
      </w:r>
      <w:r>
        <w:t>par le premier observateur des Ojibway, J. Long, le mot de totam désignerait le génie protecteur, le totem individuel dont il sera question plus loin (liv. I, chap. IV) et non le totem de clan. Mais les témoignages des autres explorateurs sont formellement</w:t>
      </w:r>
      <w:r>
        <w:t xml:space="preserve"> en sens contraire (v. sur ce point FRAZER, Tolemism and Exogamy, III, pp. 49-52).</w:t>
      </w:r>
    </w:p>
  </w:footnote>
  <w:footnote w:id="8">
    <w:p w:rsidR="009A6BD2" w:rsidRDefault="003E2D0F">
      <w:pPr>
        <w:pStyle w:val="Testonotaapidipagina"/>
      </w:pPr>
      <w:r>
        <w:rPr>
          <w:rStyle w:val="Rimandonotaapidipagina"/>
        </w:rPr>
        <w:footnoteRef/>
      </w:r>
      <w:r>
        <w:t xml:space="preserve"> </w:t>
      </w:r>
      <w:r>
        <w:tab/>
        <w:t>Les Wotjobaluk (p. 121) et les Buandik (p. 123).</w:t>
      </w:r>
    </w:p>
  </w:footnote>
  <w:footnote w:id="9">
    <w:p w:rsidR="009A6BD2" w:rsidRDefault="003E2D0F">
      <w:pPr>
        <w:pStyle w:val="Testonotaapidipagina"/>
      </w:pPr>
      <w:r>
        <w:rPr>
          <w:rStyle w:val="Rimandonotaapidipagina"/>
        </w:rPr>
        <w:footnoteRef/>
      </w:r>
      <w:r>
        <w:t xml:space="preserve"> </w:t>
      </w:r>
      <w:r>
        <w:tab/>
        <w:t>Les mêmes.</w:t>
      </w:r>
    </w:p>
  </w:footnote>
  <w:footnote w:id="10">
    <w:p w:rsidR="009A6BD2" w:rsidRDefault="003E2D0F">
      <w:pPr>
        <w:pStyle w:val="Testonotaapidipagina"/>
      </w:pPr>
      <w:r>
        <w:rPr>
          <w:rStyle w:val="Rimandonotaapidipagina"/>
        </w:rPr>
        <w:footnoteRef/>
      </w:r>
      <w:r>
        <w:t xml:space="preserve"> </w:t>
      </w:r>
      <w:r>
        <w:tab/>
        <w:t>Les Wolgal (p. 102), les Wotjobaluk et les Buandik.</w:t>
      </w:r>
    </w:p>
  </w:footnote>
  <w:footnote w:id="11">
    <w:p w:rsidR="009A6BD2" w:rsidRDefault="003E2D0F">
      <w:pPr>
        <w:pStyle w:val="Testonotaapidipagina"/>
      </w:pPr>
      <w:r>
        <w:rPr>
          <w:rStyle w:val="Rimandonotaapidipagina"/>
        </w:rPr>
        <w:footnoteRef/>
      </w:r>
      <w:r>
        <w:t xml:space="preserve"> </w:t>
      </w:r>
      <w:r>
        <w:tab/>
        <w:t>Les Muruburra (p. 177), les Wotjobaluk et les Bua</w:t>
      </w:r>
      <w:r>
        <w:t>ndik.</w:t>
      </w:r>
    </w:p>
  </w:footnote>
  <w:footnote w:id="12">
    <w:p w:rsidR="009A6BD2" w:rsidRDefault="003E2D0F">
      <w:pPr>
        <w:pStyle w:val="Testonotaapidipagina"/>
      </w:pPr>
      <w:r>
        <w:rPr>
          <w:rStyle w:val="Rimandonotaapidipagina"/>
        </w:rPr>
        <w:footnoteRef/>
      </w:r>
      <w:r>
        <w:t xml:space="preserve"> </w:t>
      </w:r>
      <w:r>
        <w:tab/>
        <w:t>Les Buandik et les Kaiabara (p. 116). On remarquera que tous ces exemples sont empruntés à cinq tribus seulement.</w:t>
      </w:r>
    </w:p>
  </w:footnote>
  <w:footnote w:id="13">
    <w:p w:rsidR="009A6BD2" w:rsidRDefault="003E2D0F">
      <w:pPr>
        <w:pStyle w:val="Testonotaapidipagina"/>
      </w:pPr>
      <w:r>
        <w:rPr>
          <w:rStyle w:val="Rimandonotaapidipagina"/>
        </w:rPr>
        <w:footnoteRef/>
      </w:r>
      <w:r>
        <w:t xml:space="preserve"> </w:t>
      </w:r>
      <w:r>
        <w:tab/>
        <w:t>De même, sur 204 sortes de totems, relevées par SPENCER et GILLEN dans un grand nombre de tribus, 188 sont des animaux ou des plan</w:t>
      </w:r>
      <w:r>
        <w:t>tes. Les objets inanimés sont le boomerang, l'eau froide, l'obscurité, le feu, l'éclair, la lune, l'ocre rouge, la résine, l'eau salée, l'étoile du soir, la pierre, le soleil, l'eau, le tourbillon, le vent, les grêlons (North. Tr., p. 773. Cf. FRAZER, Tole</w:t>
      </w:r>
      <w:r>
        <w:t>mism and Exogamy, I, pp. 253-254).</w:t>
      </w:r>
    </w:p>
  </w:footnote>
  <w:footnote w:id="14">
    <w:p w:rsidR="009A6BD2" w:rsidRDefault="003E2D0F">
      <w:pPr>
        <w:pStyle w:val="Testonotaapidipagina"/>
      </w:pPr>
      <w:r>
        <w:rPr>
          <w:rStyle w:val="Rimandonotaapidipagina"/>
        </w:rPr>
        <w:footnoteRef/>
      </w:r>
      <w:r>
        <w:t xml:space="preserve"> </w:t>
      </w:r>
      <w:r>
        <w:tab/>
        <w:t xml:space="preserve">FRAZER (Tolemism, pp. 10 et 13) en cite des cas assez nombreux et en fait même un genre à part qu'il appelle split-totems. Mais ces exemples sont empruntés à des tribus où le totémisme est profondément altéré, comme à </w:t>
      </w:r>
      <w:r>
        <w:t>Samoa ou dans les tribus du Bengale.</w:t>
      </w:r>
    </w:p>
  </w:footnote>
  <w:footnote w:id="15">
    <w:p w:rsidR="009A6BD2" w:rsidRDefault="003E2D0F">
      <w:pPr>
        <w:pStyle w:val="Testonotaapidipagina"/>
      </w:pPr>
      <w:r>
        <w:rPr>
          <w:rStyle w:val="Rimandonotaapidipagina"/>
        </w:rPr>
        <w:footnoteRef/>
      </w:r>
      <w:r>
        <w:t xml:space="preserve"> </w:t>
      </w:r>
      <w:r>
        <w:tab/>
        <w:t>HOWITT, Nat. Tr., p. 107.</w:t>
      </w:r>
    </w:p>
  </w:footnote>
  <w:footnote w:id="16">
    <w:p w:rsidR="009A6BD2" w:rsidRDefault="003E2D0F">
      <w:pPr>
        <w:pStyle w:val="Testonotaapidipagina"/>
      </w:pPr>
      <w:r>
        <w:rPr>
          <w:rStyle w:val="Rimandonotaapidipagina"/>
        </w:rPr>
        <w:footnoteRef/>
      </w:r>
      <w:r>
        <w:t xml:space="preserve"> </w:t>
      </w:r>
      <w:r>
        <w:tab/>
        <w:t>V. les tableaux relevés par STREHLOW, Die Aranda-und Loritja-Stämme, II, pp. 61-72 (et. III, p. xiii-xvii). Il est remarquable que ces totems fragmentaires soient exclusivement des totems</w:t>
      </w:r>
      <w:r>
        <w:t xml:space="preserve"> animaux.</w:t>
      </w:r>
    </w:p>
  </w:footnote>
  <w:footnote w:id="17">
    <w:p w:rsidR="009A6BD2" w:rsidRDefault="003E2D0F">
      <w:pPr>
        <w:pStyle w:val="Testonotaapidipagina"/>
      </w:pPr>
      <w:r>
        <w:rPr>
          <w:rStyle w:val="Rimandonotaapidipagina"/>
        </w:rPr>
        <w:footnoteRef/>
      </w:r>
      <w:r>
        <w:t xml:space="preserve"> </w:t>
      </w:r>
      <w:r>
        <w:tab/>
        <w:t>STREHLOW, Il, pp. 52 et 72</w:t>
      </w:r>
      <w:r>
        <w:rPr>
          <w:i/>
          <w:iCs/>
        </w:rPr>
        <w:t>.</w:t>
      </w:r>
    </w:p>
  </w:footnote>
  <w:footnote w:id="18">
    <w:p w:rsidR="009A6BD2" w:rsidRDefault="003E2D0F">
      <w:pPr>
        <w:pStyle w:val="Testonotaapidipagina"/>
      </w:pPr>
      <w:r>
        <w:rPr>
          <w:rStyle w:val="Rimandonotaapidipagina"/>
        </w:rPr>
        <w:footnoteRef/>
      </w:r>
      <w:r>
        <w:t xml:space="preserve"> </w:t>
      </w:r>
      <w:r>
        <w:tab/>
        <w:t>Par exemple, un de ces totems est une cavité où un ancêtre du totem du Chat sauvage s'est reposé; un autre est une galerie souterraine où un ancêtre du clan de la souris a creusé, etc. (ibid., p. 72).</w:t>
      </w:r>
    </w:p>
  </w:footnote>
  <w:footnote w:id="19">
    <w:p w:rsidR="009A6BD2" w:rsidRDefault="003E2D0F">
      <w:pPr>
        <w:pStyle w:val="Testonotaapidipagina"/>
      </w:pPr>
      <w:r>
        <w:rPr>
          <w:rStyle w:val="Rimandonotaapidipagina"/>
        </w:rPr>
        <w:footnoteRef/>
      </w:r>
      <w:r>
        <w:t xml:space="preserve"> </w:t>
      </w:r>
      <w:r>
        <w:tab/>
        <w:t>Nat. Tr.</w:t>
      </w:r>
      <w:r>
        <w:t>, p. 561 et suiv. STREHLOW, Il, p. 71, no 12. HOWITT, Nat. Tr., p. 246 et suiv.; On Australian Medicine Mien, J.A.I. XVI, p. 53; Further notes on the Australian Class Systems, J.A.I. XVIII, p. 63 et suiv.</w:t>
      </w:r>
    </w:p>
  </w:footnote>
  <w:footnote w:id="20">
    <w:p w:rsidR="009A6BD2" w:rsidRDefault="003E2D0F">
      <w:pPr>
        <w:pStyle w:val="Testonotaapidipagina"/>
      </w:pPr>
      <w:r>
        <w:rPr>
          <w:rStyle w:val="Rimandonotaapidipagina"/>
        </w:rPr>
        <w:footnoteRef/>
      </w:r>
      <w:r>
        <w:t xml:space="preserve"> </w:t>
      </w:r>
      <w:r>
        <w:tab/>
        <w:t xml:space="preserve">Thuballa signifie le garçon qui rit, d'après la </w:t>
      </w:r>
      <w:r>
        <w:t>traduction de SPENCER et Gillen. Les membres du clan qui porte son nom croient l'entendre rire dans les rochers qui lui servent de résidence (North. Tr., p. 207, '215, 227, note). D'après le mythe rapporté p. 422, il y aurait eu un groupe initial de Thabal</w:t>
      </w:r>
      <w:r>
        <w:t>la mythiques (cf. p. '208). Le clan des Kati, des hommes pleinement développés, full-grown men comme disent SPENCER et GiLLEN, paraît bien être du même genre (North. Tr., p. 207).</w:t>
      </w:r>
    </w:p>
  </w:footnote>
  <w:footnote w:id="21">
    <w:p w:rsidR="009A6BD2" w:rsidRDefault="003E2D0F">
      <w:pPr>
        <w:pStyle w:val="Testonotaapidipagina"/>
      </w:pPr>
      <w:r>
        <w:rPr>
          <w:rStyle w:val="Rimandonotaapidipagina"/>
        </w:rPr>
        <w:footnoteRef/>
      </w:r>
      <w:r>
        <w:t xml:space="preserve"> </w:t>
      </w:r>
      <w:r>
        <w:tab/>
        <w:t>North. Tr., p. 226 et suiv.</w:t>
      </w:r>
    </w:p>
  </w:footnote>
  <w:footnote w:id="22">
    <w:p w:rsidR="009A6BD2" w:rsidRDefault="003E2D0F">
      <w:pPr>
        <w:pStyle w:val="Testonotaapidipagina"/>
      </w:pPr>
      <w:r>
        <w:rPr>
          <w:rStyle w:val="Rimandonotaapidipagina"/>
        </w:rPr>
        <w:footnoteRef/>
      </w:r>
      <w:r>
        <w:t xml:space="preserve"> </w:t>
      </w:r>
      <w:r>
        <w:tab/>
        <w:t>STREHLOW, II, pp. 71-72. Strehlow cite che</w:t>
      </w:r>
      <w:r>
        <w:t>z les Loritja et les Arunta un totem qui rappelle de très près celui du serpent Wollunqua : c'est le totem du serpent mythique d'eau.</w:t>
      </w:r>
    </w:p>
  </w:footnote>
  <w:footnote w:id="23">
    <w:p w:rsidR="009A6BD2" w:rsidRDefault="003E2D0F">
      <w:pPr>
        <w:pStyle w:val="Testonotaapidipagina"/>
      </w:pPr>
      <w:r>
        <w:rPr>
          <w:rStyle w:val="Rimandonotaapidipagina"/>
        </w:rPr>
        <w:footnoteRef/>
      </w:r>
      <w:r>
        <w:t xml:space="preserve"> </w:t>
      </w:r>
      <w:r>
        <w:tab/>
        <w:t>C'est le cas de Klaatsch, dans son article déjà cité (v. plus haut p. 130, no 3).</w:t>
      </w:r>
    </w:p>
  </w:footnote>
  <w:footnote w:id="24">
    <w:p w:rsidR="009A6BD2" w:rsidRDefault="003E2D0F">
      <w:pPr>
        <w:pStyle w:val="Testonotaapidipagina"/>
      </w:pPr>
      <w:r>
        <w:rPr>
          <w:rStyle w:val="Rimandonotaapidipagina"/>
        </w:rPr>
        <w:footnoteRef/>
      </w:r>
      <w:r>
        <w:t xml:space="preserve"> </w:t>
      </w:r>
      <w:r>
        <w:tab/>
        <w:t>Ainsi que nous l'avons indiqué dan</w:t>
      </w:r>
      <w:r>
        <w:t>s le chapitre précédent, le totémisme intéresse à la fois la question de la religion et la question de la famille, puisque le clan est une famille. Les deux problèmes, dans les sociétés inférieures, sont étroitement solidaires. Mais ils sont tous deux trop</w:t>
      </w:r>
      <w:r>
        <w:t xml:space="preserve"> complexes pour qu'il ne soit pas indispensable de les traiter séparément. On ne peut, d'ailleurs, comprendre l'organisation familiale primitive avant de connaître les idées religieuses primitives ; car celles-ci servent de principes à celle-là. C'est pour</w:t>
      </w:r>
      <w:r>
        <w:t>quoi il était nécessaire d'étudier le totémisme comme religion, avant d'étudier le clan totémique comme groupement familial.</w:t>
      </w:r>
    </w:p>
  </w:footnote>
  <w:footnote w:id="25">
    <w:p w:rsidR="009A6BD2" w:rsidRDefault="003E2D0F">
      <w:pPr>
        <w:pStyle w:val="Testonotaapidipagina"/>
      </w:pPr>
      <w:r>
        <w:rPr>
          <w:rStyle w:val="Rimandonotaapidipagina"/>
        </w:rPr>
        <w:footnoteRef/>
      </w:r>
      <w:r>
        <w:t xml:space="preserve"> </w:t>
      </w:r>
      <w:r>
        <w:tab/>
        <w:t>V. TAPLIN, The Narrinyeri Tribe, CURR, II, pp. 244-245 ; HOWITT, Nat. Tr., p. 131.</w:t>
      </w:r>
    </w:p>
  </w:footnote>
  <w:footnote w:id="26">
    <w:p w:rsidR="009A6BD2" w:rsidRDefault="003E2D0F">
      <w:pPr>
        <w:pStyle w:val="Testonotaapidipagina"/>
      </w:pPr>
      <w:r>
        <w:rPr>
          <w:rStyle w:val="Rimandonotaapidipagina"/>
        </w:rPr>
        <w:footnoteRef/>
      </w:r>
      <w:r>
        <w:t xml:space="preserve"> </w:t>
      </w:r>
      <w:r>
        <w:tab/>
        <w:t>North. Tr., pp. 163, 169, 170, 172. Il y a</w:t>
      </w:r>
      <w:r>
        <w:t xml:space="preserve"> toutefois lieu de noter que dans toutes ces tribus, sauf les Mara et les Anula, la transmission du totem en ligne paternelle ne serait que le fait le plus général, mais comporterait des exceptions.</w:t>
      </w:r>
    </w:p>
  </w:footnote>
  <w:footnote w:id="27">
    <w:p w:rsidR="009A6BD2" w:rsidRDefault="003E2D0F">
      <w:pPr>
        <w:pStyle w:val="Testonotaapidipagina"/>
      </w:pPr>
      <w:r>
        <w:rPr>
          <w:rStyle w:val="Rimandonotaapidipagina"/>
        </w:rPr>
        <w:footnoteRef/>
      </w:r>
      <w:r>
        <w:t xml:space="preserve"> </w:t>
      </w:r>
      <w:r>
        <w:tab/>
        <w:t>Suivant SPENCER et GILLEN (Nat. Tr., p. 123 et suiv.),</w:t>
      </w:r>
      <w:r>
        <w:t xml:space="preserve"> l'âme de l'ancêtre se réincarnerait dans le corps de la mère et deviendrait l'âme de l'enfant; suivant STREHLOW (II, p. 51 et suiv.) la conception, tout en étant l'couvre de l'ancêtre, n'impliquerait pas une réincarnation; mais, dans l'une et l'autre inte</w:t>
      </w:r>
      <w:r>
        <w:t>rprétation, le totem propre de l'enfant ne dépend pas nécessairement de celui de ses parents.</w:t>
      </w:r>
    </w:p>
  </w:footnote>
  <w:footnote w:id="28">
    <w:p w:rsidR="009A6BD2" w:rsidRDefault="003E2D0F">
      <w:pPr>
        <w:pStyle w:val="Testonotaapidipagina"/>
      </w:pPr>
      <w:r>
        <w:rPr>
          <w:rStyle w:val="Rimandonotaapidipagina"/>
        </w:rPr>
        <w:footnoteRef/>
      </w:r>
      <w:r>
        <w:t xml:space="preserve"> </w:t>
      </w:r>
      <w:r>
        <w:tab/>
        <w:t>Nat. Tr., p. 133; STREHLOW, II, p. 53.</w:t>
      </w:r>
    </w:p>
  </w:footnote>
  <w:footnote w:id="29">
    <w:p w:rsidR="009A6BD2" w:rsidRDefault="003E2D0F">
      <w:pPr>
        <w:pStyle w:val="Testonotaapidipagina"/>
      </w:pPr>
      <w:r>
        <w:rPr>
          <w:rStyle w:val="Rimandonotaapidipagina"/>
        </w:rPr>
        <w:footnoteRef/>
      </w:r>
      <w:r>
        <w:t xml:space="preserve"> </w:t>
      </w:r>
      <w:r>
        <w:tab/>
        <w:t>C'est, en grande partie, la localité où la mère croit avoir conçu qui détermine le totem de l'enfant. Chaque totem, c</w:t>
      </w:r>
      <w:r>
        <w:t>omme nous le verrons, a son centre, et les ancêtres fréquentent de préférence les endroits qui servent de centres à leurs totems respectifs. Le totem de l'enfant est donc celui auquel ressortit la localité où la mère croit avoir conçu. D'ailleurs, comme ce</w:t>
      </w:r>
      <w:r>
        <w:t>lle-ci doit se trouver plus souvent dans le voisinage de l'endroit qui sert de centre totémique à son mari, l'enfant doit être le plus généralement du même totem que le père. C'est ce qui explique, sans doute, comment, dans chaque localité, la majeure part</w:t>
      </w:r>
      <w:r>
        <w:t xml:space="preserve">ie des habitants appartiennent au même totem </w:t>
      </w:r>
      <w:r>
        <w:rPr>
          <w:i/>
          <w:iCs/>
        </w:rPr>
        <w:t>(Nat. Tr., p. 9).</w:t>
      </w:r>
    </w:p>
  </w:footnote>
  <w:footnote w:id="30">
    <w:p w:rsidR="009A6BD2" w:rsidRDefault="003E2D0F">
      <w:pPr>
        <w:pStyle w:val="Testonotaapidipagina"/>
      </w:pPr>
      <w:r>
        <w:rPr>
          <w:rStyle w:val="Rimandonotaapidipagina"/>
        </w:rPr>
        <w:footnoteRef/>
      </w:r>
      <w:r>
        <w:t xml:space="preserve"> </w:t>
      </w:r>
      <w:r>
        <w:tab/>
        <w:t>The secret of the Totem, p. 159 et suiv. Cf. FISON et HOWITT, Kamilaroi and Kurnai, pp. 40 et 41 ; John MATHEW, Eaglehawk and Crow; THOMAS, Kinship and Marriage in Australia, p. 52 et suiv.</w:t>
      </w:r>
    </w:p>
  </w:footnote>
  <w:footnote w:id="31">
    <w:p w:rsidR="009A6BD2" w:rsidRDefault="003E2D0F">
      <w:pPr>
        <w:pStyle w:val="Testonotaapidipagina"/>
      </w:pPr>
      <w:r>
        <w:rPr>
          <w:rStyle w:val="Rimandonotaapidipagina"/>
        </w:rPr>
        <w:footnoteRef/>
      </w:r>
      <w:r>
        <w:t xml:space="preserve"> </w:t>
      </w:r>
      <w:r>
        <w:tab/>
        <w:t>HOWITT, Nat. Tr., p. 124.</w:t>
      </w:r>
    </w:p>
  </w:footnote>
  <w:footnote w:id="32">
    <w:p w:rsidR="009A6BD2" w:rsidRDefault="003E2D0F">
      <w:pPr>
        <w:pStyle w:val="Testonotaapidipagina"/>
      </w:pPr>
      <w:r>
        <w:rPr>
          <w:rStyle w:val="Rimandonotaapidipagina"/>
        </w:rPr>
        <w:footnoteRef/>
      </w:r>
      <w:r>
        <w:t xml:space="preserve"> </w:t>
      </w:r>
      <w:r>
        <w:tab/>
        <w:t>HOWITT, Op. cit., pp. 121, 123, 124. CURR, III, p. 461.</w:t>
      </w:r>
    </w:p>
  </w:footnote>
  <w:footnote w:id="33">
    <w:p w:rsidR="009A6BD2" w:rsidRDefault="003E2D0F">
      <w:pPr>
        <w:pStyle w:val="Testonotaapidipagina"/>
      </w:pPr>
      <w:r>
        <w:rPr>
          <w:rStyle w:val="Rimandonotaapidipagina"/>
        </w:rPr>
        <w:footnoteRef/>
      </w:r>
      <w:r>
        <w:t xml:space="preserve"> </w:t>
      </w:r>
      <w:r>
        <w:tab/>
        <w:t>HOWITT, p. 126.</w:t>
      </w:r>
    </w:p>
  </w:footnote>
  <w:footnote w:id="34">
    <w:p w:rsidR="009A6BD2" w:rsidRDefault="003E2D0F">
      <w:pPr>
        <w:pStyle w:val="Testonotaapidipagina"/>
      </w:pPr>
      <w:r>
        <w:rPr>
          <w:rStyle w:val="Rimandonotaapidipagina"/>
        </w:rPr>
        <w:footnoteRef/>
      </w:r>
      <w:r>
        <w:t xml:space="preserve"> </w:t>
      </w:r>
      <w:r>
        <w:tab/>
        <w:t>HOWITT, p. 98 et suiv.</w:t>
      </w:r>
    </w:p>
  </w:footnote>
  <w:footnote w:id="35">
    <w:p w:rsidR="009A6BD2" w:rsidRDefault="003E2D0F">
      <w:pPr>
        <w:pStyle w:val="Testonotaapidipagina"/>
      </w:pPr>
      <w:r>
        <w:rPr>
          <w:rStyle w:val="Rimandonotaapidipagina"/>
        </w:rPr>
        <w:footnoteRef/>
      </w:r>
      <w:r>
        <w:t xml:space="preserve"> </w:t>
      </w:r>
      <w:r>
        <w:tab/>
        <w:t>CURR, II, p. 165; Brough SMYTH, 1, p. 423; HOWITT, op. cit., p. 429.</w:t>
      </w:r>
    </w:p>
  </w:footnote>
  <w:footnote w:id="36">
    <w:p w:rsidR="009A6BD2" w:rsidRDefault="003E2D0F">
      <w:pPr>
        <w:pStyle w:val="Testonotaapidipagina"/>
      </w:pPr>
      <w:r>
        <w:rPr>
          <w:rStyle w:val="Rimandonotaapidipagina"/>
        </w:rPr>
        <w:footnoteRef/>
      </w:r>
      <w:r>
        <w:t xml:space="preserve"> </w:t>
      </w:r>
      <w:r>
        <w:tab/>
        <w:t>HOWITT, pp. 101, 102.</w:t>
      </w:r>
    </w:p>
  </w:footnote>
  <w:footnote w:id="37">
    <w:p w:rsidR="009A6BD2" w:rsidRDefault="003E2D0F">
      <w:pPr>
        <w:pStyle w:val="Testonotaapidipagina"/>
      </w:pPr>
      <w:r>
        <w:rPr>
          <w:rStyle w:val="Rimandonotaapidipagina"/>
        </w:rPr>
        <w:footnoteRef/>
      </w:r>
      <w:r>
        <w:t xml:space="preserve"> </w:t>
      </w:r>
      <w:r>
        <w:tab/>
        <w:t>J. MATHEW, Two Represen</w:t>
      </w:r>
      <w:r>
        <w:t>tative Tribes of Queensland, p. 139.</w:t>
      </w:r>
    </w:p>
  </w:footnote>
  <w:footnote w:id="38">
    <w:p w:rsidR="009A6BD2" w:rsidRDefault="003E2D0F">
      <w:pPr>
        <w:pStyle w:val="Testonotaapidipagina"/>
      </w:pPr>
      <w:r>
        <w:rPr>
          <w:rStyle w:val="Rimandonotaapidipagina"/>
        </w:rPr>
        <w:footnoteRef/>
      </w:r>
      <w:r>
        <w:t xml:space="preserve"> </w:t>
      </w:r>
      <w:r>
        <w:tab/>
        <w:t>On pourrait, à l'appui de cette hypothèse, donner d'autres raisons; mais il faudrait faire intervenir des considérations relatives à l'organisation familiale, et nous tenons à séparer les deux études. La question, d'</w:t>
      </w:r>
      <w:r>
        <w:t>ailleurs, n'intéresse que secondairement notre sujet.</w:t>
      </w:r>
    </w:p>
  </w:footnote>
  <w:footnote w:id="39">
    <w:p w:rsidR="009A6BD2" w:rsidRDefault="003E2D0F">
      <w:pPr>
        <w:pStyle w:val="Testonotaapidipagina"/>
      </w:pPr>
      <w:r>
        <w:rPr>
          <w:rStyle w:val="Rimandonotaapidipagina"/>
        </w:rPr>
        <w:footnoteRef/>
      </w:r>
      <w:r>
        <w:t xml:space="preserve"> </w:t>
      </w:r>
      <w:r>
        <w:tab/>
        <w:t xml:space="preserve">Par exemple, Mukwara, qui désigne une phratrie chez les Barkinji, les Paruinji, les Milpulko, signifie, d'après Brough Smyth, aigle-faucon; or, parmi les clans compris dans cette phratrie, il en est </w:t>
      </w:r>
      <w:r>
        <w:t>un qui a pour totem l'aigle-faucon. Mais ici, cet animal est désigné par le mot de Bilyara. On trouvera plusieurs cas du même genre, cités par LANG, Op. cit., p. 162.</w:t>
      </w:r>
    </w:p>
  </w:footnote>
  <w:footnote w:id="40">
    <w:p w:rsidR="009A6BD2" w:rsidRDefault="003E2D0F">
      <w:pPr>
        <w:pStyle w:val="Testonotaapidipagina"/>
      </w:pPr>
      <w:r>
        <w:rPr>
          <w:rStyle w:val="Rimandonotaapidipagina"/>
        </w:rPr>
        <w:footnoteRef/>
      </w:r>
      <w:r>
        <w:t xml:space="preserve"> </w:t>
      </w:r>
      <w:r>
        <w:tab/>
        <w:t>SPENCER et GILLEN, Nat. Tr., p. 115. D'après HOWITT (Op. cit., pp. 121 et 454), chez l</w:t>
      </w:r>
      <w:r>
        <w:t>es Wotjobaluk, le clan du Pélican serait également représenté dans les deux phratries. Le fait nous paraît douteux. Il serait très possible que ces deux clans aient pour totems deux espèces différentes de pélicans. C'est ce qui semble ressortir des indicat</w:t>
      </w:r>
      <w:r>
        <w:t>ions données par MATHEWS sur la même tribu (Aboriginal Tribes of no S. Wales a. Victoria in Journal and Proceedings of the Royal Society of N. S. Wales, 1904, pp. 287-288).</w:t>
      </w:r>
    </w:p>
  </w:footnote>
  <w:footnote w:id="41">
    <w:p w:rsidR="009A6BD2" w:rsidRDefault="003E2D0F">
      <w:pPr>
        <w:pStyle w:val="Testonotaapidipagina"/>
      </w:pPr>
      <w:r>
        <w:rPr>
          <w:rStyle w:val="Rimandonotaapidipagina"/>
        </w:rPr>
        <w:footnoteRef/>
      </w:r>
      <w:r>
        <w:t xml:space="preserve"> </w:t>
      </w:r>
      <w:r>
        <w:tab/>
        <w:t>V. sur cette question notre mémoire sur : Le totémisme, in Année sociologique, t</w:t>
      </w:r>
      <w:r>
        <w:t>ome V, p. 82 et suiv.</w:t>
      </w:r>
    </w:p>
  </w:footnote>
  <w:footnote w:id="42">
    <w:p w:rsidR="009A6BD2" w:rsidRDefault="003E2D0F">
      <w:pPr>
        <w:pStyle w:val="Testonotaapidipagina"/>
      </w:pPr>
      <w:r>
        <w:rPr>
          <w:rStyle w:val="Rimandonotaapidipagina"/>
        </w:rPr>
        <w:footnoteRef/>
      </w:r>
      <w:r>
        <w:t xml:space="preserve"> </w:t>
      </w:r>
      <w:r>
        <w:tab/>
        <w:t>V. sur cette, question des classes australiennes en général notre mémoire sur La prohibition de l'inceste, in Année sociol., I, p. 9 et suiv., et plus spécialement sur les tribus à huit classes L'organisation matrimoniale des socié</w:t>
      </w:r>
      <w:r>
        <w:t>tés australiennes, in Année sociol., VIII, pp. 118-147.</w:t>
      </w:r>
    </w:p>
  </w:footnote>
  <w:footnote w:id="43">
    <w:p w:rsidR="009A6BD2" w:rsidRDefault="003E2D0F">
      <w:pPr>
        <w:pStyle w:val="Testonotaapidipagina"/>
      </w:pPr>
      <w:r>
        <w:rPr>
          <w:rStyle w:val="Rimandonotaapidipagina"/>
        </w:rPr>
        <w:footnoteRef/>
      </w:r>
      <w:r>
        <w:t xml:space="preserve"> </w:t>
      </w:r>
      <w:r>
        <w:tab/>
        <w:t>Ce principe ne s'est pas maintenu partout avec une égale rigueur. Dans les tribus du centre à huit classes, notamment, outre la classe avec laquelle le mariage est régulièrement permis, il en est u</w:t>
      </w:r>
      <w:r>
        <w:t xml:space="preserve">ne autre avec laquelle on a une sorte de connubium secondaire (SPENCER et GILLEN, North. Tr., p. 106). Il en est de même dans certaines tribus à quatre classes. Chaque classe a le choix entre les deux classes de l'autre phratrie. C'est le cas des Kabi (v. </w:t>
      </w:r>
      <w:r>
        <w:t>MATHEW, in CURR, III, p. 162).</w:t>
      </w:r>
    </w:p>
  </w:footnote>
  <w:footnote w:id="44">
    <w:p w:rsidR="009A6BD2" w:rsidRDefault="003E2D0F">
      <w:pPr>
        <w:pStyle w:val="Testonotaapidipagina"/>
      </w:pPr>
      <w:r>
        <w:rPr>
          <w:rStyle w:val="Rimandonotaapidipagina"/>
        </w:rPr>
        <w:footnoteRef/>
      </w:r>
      <w:r>
        <w:t xml:space="preserve"> </w:t>
      </w:r>
      <w:r>
        <w:tab/>
        <w:t>V. ROTH, Ethnological Studies among the North- West-Central Queensland Aborigines, p. 56 et suiv.; PALMER, Notes on some Australian Tribes, J.A.I., XIII (1884), p. 302 et suiv.</w:t>
      </w:r>
    </w:p>
  </w:footnote>
  <w:footnote w:id="45">
    <w:p w:rsidR="009A6BD2" w:rsidRDefault="003E2D0F">
      <w:pPr>
        <w:pStyle w:val="Testonotaapidipagina"/>
      </w:pPr>
      <w:r>
        <w:rPr>
          <w:rStyle w:val="Rimandonotaapidipagina"/>
        </w:rPr>
        <w:footnoteRef/>
      </w:r>
      <w:r>
        <w:t xml:space="preserve"> </w:t>
      </w:r>
      <w:r>
        <w:tab/>
        <w:t>On cite cependant quelques tribus où des c</w:t>
      </w:r>
      <w:r>
        <w:t>lasses matrimoniales porteraient des noms d'animaux ou de plantes : c'est le cas des Kabi (MATHEW, Two Representative Tribes, p. 150), des tribus observées par Mrs BATES (The Marriage Laws a. Customs. of the W. Austral. Aborigines, in Victorian Geographica</w:t>
      </w:r>
      <w:r>
        <w:t>l Journal, XXIII-XXIV, p. 47) et peutêtre de deux tribus observées par Palmer. Mais ces faits sont très rares, leur signification mal établie. D'ailleurs, il n'est pas surprenant que les classes, aussi bien que les groupes sexuels, aient parfois adopté des</w:t>
      </w:r>
      <w:r>
        <w:t xml:space="preserve"> noms d'animaux. Cette extension exceptionnelle des dénominations totémiques ne modifie en rien notre conception du totémisme.</w:t>
      </w:r>
    </w:p>
  </w:footnote>
  <w:footnote w:id="46">
    <w:p w:rsidR="009A6BD2" w:rsidRDefault="003E2D0F">
      <w:pPr>
        <w:pStyle w:val="Testonotaapidipagina"/>
      </w:pPr>
      <w:r>
        <w:rPr>
          <w:rStyle w:val="Rimandonotaapidipagina"/>
        </w:rPr>
        <w:footnoteRef/>
      </w:r>
      <w:r>
        <w:t xml:space="preserve"> </w:t>
      </w:r>
      <w:r>
        <w:tab/>
        <w:t>La même explication s'applique peut-être à quelques autres tribus du Sud-Est et de l'Est, où, si l'on en croit les informateur</w:t>
      </w:r>
      <w:r>
        <w:t>s de Howitt, on trouverait également des totems spécialement affectés à chaque classe matrimoniale. Ce serait le cas chez les Wiradjuri, les Wakelbura, les Bunta-Murra de la rivière Bulloo (HOWITT, Nat. Tr., pp. 210, 221, 226). Toutefois, les témoignages q</w:t>
      </w:r>
      <w:r>
        <w:t>u'il a recueillis sont, de son propre aveu, suspects. En fait, des listes mêmes qu'il a dressées, il résulte que plusieurs totems se retrouvent également dans les deux classes de la même phratrie.</w:t>
      </w:r>
    </w:p>
    <w:p w:rsidR="009A6BD2" w:rsidRDefault="003E2D0F">
      <w:pPr>
        <w:pStyle w:val="Testonotaapidipagina"/>
      </w:pPr>
      <w:r>
        <w:tab/>
      </w:r>
      <w:r>
        <w:tab/>
        <w:t>L'explication que nous proposons d'après FRAZER (Totemism</w:t>
      </w:r>
      <w:r>
        <w:t xml:space="preserve"> and Exogamy, p. 531 et suiv.) soulève, d'ailleurs, une difficulté. En principe, chaque clan, et, par conséquent, chaque totem sont indifféremment représentés dans les deux classes d'une même phratrie, puisque l'une de ces classes est celle des enfants et </w:t>
      </w:r>
      <w:r>
        <w:t>l'autre celle des parents de qui les premiers tiennent leurs totems. Quand donc, les clans disparurent, les interdictions totémiques qui survivaient auraient dû rester communes aux deux classes matrimoniales, tandis que, dans les cas cités, chaque classe a</w:t>
      </w:r>
      <w:r>
        <w:t xml:space="preserve"> les siennes propres. D'où provient cette différenciation ? L'exemple des Kaiabara (tribu du sud du Queensland) permet peut-être d'entrevoir comment cette différenciation s'est produite. Dans cette tribu, les enfants ont le totem de leur mère, mais particu</w:t>
      </w:r>
      <w:r>
        <w:t>larisé au moyen d'un signe distinctif. Si la mère a pour totem l'aigle-faucon noir, celui de l'enfant est l'aigle-faucon blanc (HOWITT, Nat. Tr., p. 229). Il y a là comme une première tendance des totems à se différencier suivant les classes matrimoniales.</w:t>
      </w:r>
    </w:p>
  </w:footnote>
  <w:footnote w:id="47">
    <w:p w:rsidR="009A6BD2" w:rsidRDefault="003E2D0F">
      <w:pPr>
        <w:pStyle w:val="Testonotaapidipagina"/>
      </w:pPr>
      <w:r>
        <w:rPr>
          <w:rStyle w:val="Rimandonotaapidipagina"/>
        </w:rPr>
        <w:footnoteRef/>
      </w:r>
      <w:r>
        <w:t xml:space="preserve"> </w:t>
      </w:r>
      <w:r>
        <w:tab/>
        <w:t>Une tribu de quelques centaines de têtes compte parfois jusqu'à 50 ou 60 clans et même beaucoup plus. Voir sur ce point DURKHEIM et Mauss, De quelques formes primitives de classification, in Année sociologique, tome VI, p. 28 no 1.</w:t>
      </w:r>
    </w:p>
  </w:footnote>
  <w:footnote w:id="48">
    <w:p w:rsidR="009A6BD2" w:rsidRDefault="003E2D0F">
      <w:pPr>
        <w:pStyle w:val="Testonotaapidipagina"/>
      </w:pPr>
      <w:r>
        <w:rPr>
          <w:rStyle w:val="Rimandonotaapidipagina"/>
        </w:rPr>
        <w:footnoteRef/>
      </w:r>
      <w:r>
        <w:t xml:space="preserve"> </w:t>
      </w:r>
      <w:r>
        <w:tab/>
        <w:t>Sauf chez les Ind</w:t>
      </w:r>
      <w:r>
        <w:t>iens Pueblo du Sud-Ouest où ils sont plus nombreux. V. HODGE, Pueblo Indian Clans, in American Anthropologist, 1re série, tome IX, p. 345 et suiv. On peut se demander toutefois si les groupes qui portent ces totems sont des clans ou des sous-clans.</w:t>
      </w:r>
    </w:p>
  </w:footnote>
  <w:footnote w:id="49">
    <w:p w:rsidR="009A6BD2" w:rsidRDefault="003E2D0F">
      <w:pPr>
        <w:pStyle w:val="Testonotaapidipagina"/>
      </w:pPr>
      <w:r>
        <w:rPr>
          <w:rStyle w:val="Rimandonotaapidipagina"/>
        </w:rPr>
        <w:footnoteRef/>
      </w:r>
      <w:r>
        <w:t xml:space="preserve"> </w:t>
      </w:r>
      <w:r>
        <w:tab/>
        <w:t>V. l</w:t>
      </w:r>
      <w:r>
        <w:t>es tableaux dressés par MORGAN dans Ancient Society, pp. 153-185.</w:t>
      </w:r>
    </w:p>
  </w:footnote>
  <w:footnote w:id="50">
    <w:p w:rsidR="009A6BD2" w:rsidRDefault="003E2D0F">
      <w:pPr>
        <w:pStyle w:val="Testonotaapidipagina"/>
      </w:pPr>
      <w:r>
        <w:rPr>
          <w:rStyle w:val="Rimandonotaapidipagina"/>
        </w:rPr>
        <w:footnoteRef/>
      </w:r>
      <w:r>
        <w:t xml:space="preserve"> </w:t>
      </w:r>
      <w:r>
        <w:tab/>
        <w:t>KRAUSE, Die Tlinkit-Indianer, p. 112; SWANTON, Social Condition, Beliefs a. Linguistic Relationship of the Tlingit Indians in XXVIth Rep., p. 398.</w:t>
      </w:r>
    </w:p>
  </w:footnote>
  <w:footnote w:id="51">
    <w:p w:rsidR="009A6BD2" w:rsidRDefault="003E2D0F">
      <w:pPr>
        <w:pStyle w:val="Testonotaapidipagina"/>
      </w:pPr>
      <w:r>
        <w:rPr>
          <w:rStyle w:val="Rimandonotaapidipagina"/>
        </w:rPr>
        <w:footnoteRef/>
      </w:r>
      <w:r>
        <w:t xml:space="preserve"> </w:t>
      </w:r>
      <w:r>
        <w:tab/>
        <w:t>SWANTON, Contributions Io the Ethnolo</w:t>
      </w:r>
      <w:r>
        <w:t>gy of the Haida, p. 62.</w:t>
      </w:r>
    </w:p>
  </w:footnote>
  <w:footnote w:id="52">
    <w:p w:rsidR="009A6BD2" w:rsidRDefault="003E2D0F">
      <w:pPr>
        <w:pStyle w:val="Testonotaapidipagina"/>
      </w:pPr>
      <w:r>
        <w:rPr>
          <w:rStyle w:val="Rimandonotaapidipagina"/>
        </w:rPr>
        <w:footnoteRef/>
      </w:r>
      <w:r>
        <w:t xml:space="preserve"> </w:t>
      </w:r>
      <w:r>
        <w:tab/>
        <w:t>« The distinction between the two clans is absolute in every respect », dit Swanton, p. 68; il appelle clans ce que nous nommons phratries. Les deux phratries, dit-il ailleurs, sont, l'une par rapport à l'autre, comme deux peuple</w:t>
      </w:r>
      <w:r>
        <w:t>s étrangers.</w:t>
      </w:r>
    </w:p>
  </w:footnote>
  <w:footnote w:id="53">
    <w:p w:rsidR="009A6BD2" w:rsidRDefault="003E2D0F">
      <w:pPr>
        <w:pStyle w:val="Testonotaapidipagina"/>
      </w:pPr>
      <w:r>
        <w:rPr>
          <w:rStyle w:val="Rimandonotaapidipagina"/>
        </w:rPr>
        <w:footnoteRef/>
      </w:r>
      <w:r>
        <w:t xml:space="preserve"> </w:t>
      </w:r>
      <w:r>
        <w:tab/>
        <w:t>Le totem des clans proprement dits est même, au moins chez log Haida, plus altéré que le totem des phratries. L'usage, en effet, permettant à un clan de donner ou de vendre le droit de porter son totem, il en résulte que chaque clan a une p</w:t>
      </w:r>
      <w:r>
        <w:t>luralité de totems dont quelquesuns lui sont communs avec d'autres clans (v. SWANTON, pp. 107 et 268). Parce que Swanton appelle clans les phratries, il est obligé de donner le nom de famille aux clans proprement dits, et de household aux familles véritabl</w:t>
      </w:r>
      <w:r>
        <w:t>es. Mais le sens réel de la terminologie qu'il adopte n'est pas douteux.</w:t>
      </w:r>
    </w:p>
  </w:footnote>
  <w:footnote w:id="54">
    <w:p w:rsidR="009A6BD2" w:rsidRDefault="003E2D0F">
      <w:pPr>
        <w:pStyle w:val="Testonotaapidipagina"/>
      </w:pPr>
      <w:r>
        <w:rPr>
          <w:rStyle w:val="Rimandonotaapidipagina"/>
        </w:rPr>
        <w:footnoteRef/>
      </w:r>
      <w:r>
        <w:t xml:space="preserve"> </w:t>
      </w:r>
      <w:r>
        <w:tab/>
        <w:t>Journals of Iwo Expeditions in no W. and W. Australia, Il, p. 228.</w:t>
      </w:r>
    </w:p>
  </w:footnote>
  <w:footnote w:id="55">
    <w:p w:rsidR="009A6BD2" w:rsidRDefault="003E2D0F">
      <w:pPr>
        <w:pStyle w:val="Testonotaapidipagina"/>
      </w:pPr>
      <w:r>
        <w:rPr>
          <w:rStyle w:val="Rimandonotaapidipagina"/>
        </w:rPr>
        <w:footnoteRef/>
      </w:r>
      <w:r>
        <w:t xml:space="preserve"> </w:t>
      </w:r>
      <w:r>
        <w:tab/>
        <w:t>Kamilaroi and Kurnai, p. 165.</w:t>
      </w:r>
    </w:p>
  </w:footnote>
  <w:footnote w:id="56">
    <w:p w:rsidR="009A6BD2" w:rsidRDefault="003E2D0F">
      <w:pPr>
        <w:pStyle w:val="Testonotaapidipagina"/>
      </w:pPr>
      <w:r>
        <w:rPr>
          <w:rStyle w:val="Rimandonotaapidipagina"/>
        </w:rPr>
        <w:footnoteRef/>
      </w:r>
      <w:r>
        <w:t xml:space="preserve"> </w:t>
      </w:r>
      <w:r>
        <w:tab/>
        <w:t xml:space="preserve">Indian Tribes, I, p. 420. Cf. 1, p. 52. Cette étymologie est d'ailleurs très </w:t>
      </w:r>
      <w:r>
        <w:t>contestable. Cf. Handbook of American Indians North of Mexico (Smithsonian Instit., Bur. of. Ethnol., 2e Partie, s. v. Totem, p. 787).</w:t>
      </w:r>
    </w:p>
  </w:footnote>
  <w:footnote w:id="57">
    <w:p w:rsidR="009A6BD2" w:rsidRDefault="003E2D0F">
      <w:pPr>
        <w:pStyle w:val="Testonotaapidipagina"/>
      </w:pPr>
      <w:r>
        <w:rPr>
          <w:rStyle w:val="Rimandonotaapidipagina"/>
        </w:rPr>
        <w:footnoteRef/>
      </w:r>
      <w:r>
        <w:t xml:space="preserve"> </w:t>
      </w:r>
      <w:r>
        <w:tab/>
        <w:t>SCHOOLCRAFT, Indian Tribes, III, p. 184. Garrick MALLERY, PictureWriting of the American Indians, in Tenth Rep., 1893,</w:t>
      </w:r>
      <w:r>
        <w:t xml:space="preserve"> p. 377.</w:t>
      </w:r>
    </w:p>
  </w:footnote>
  <w:footnote w:id="58">
    <w:p w:rsidR="009A6BD2" w:rsidRDefault="003E2D0F">
      <w:pPr>
        <w:pStyle w:val="Testonotaapidipagina"/>
      </w:pPr>
      <w:r>
        <w:rPr>
          <w:rStyle w:val="Rimandonotaapidipagina"/>
        </w:rPr>
        <w:footnoteRef/>
      </w:r>
      <w:r>
        <w:t xml:space="preserve"> </w:t>
      </w:r>
      <w:r>
        <w:tab/>
        <w:t>HEARNE, Journey to the Northern Ocean, p. 148 (cité d'après FRAZER, Tolemism, p. 30).</w:t>
      </w:r>
    </w:p>
  </w:footnote>
  <w:footnote w:id="59">
    <w:p w:rsidR="009A6BD2" w:rsidRDefault="003E2D0F">
      <w:pPr>
        <w:pStyle w:val="Testonotaapidipagina"/>
      </w:pPr>
      <w:r>
        <w:rPr>
          <w:rStyle w:val="Rimandonotaapidipagina"/>
        </w:rPr>
        <w:footnoteRef/>
      </w:r>
      <w:r>
        <w:t xml:space="preserve"> </w:t>
      </w:r>
      <w:r>
        <w:tab/>
        <w:t>CHARLEVOIX, Histoire et description de la Nouvelle France, V, p. 329.</w:t>
      </w:r>
    </w:p>
  </w:footnote>
  <w:footnote w:id="60">
    <w:p w:rsidR="009A6BD2" w:rsidRDefault="003E2D0F">
      <w:pPr>
        <w:pStyle w:val="Testonotaapidipagina"/>
      </w:pPr>
      <w:r>
        <w:rPr>
          <w:rStyle w:val="Rimandonotaapidipagina"/>
        </w:rPr>
        <w:footnoteRef/>
      </w:r>
      <w:r>
        <w:t xml:space="preserve"> </w:t>
      </w:r>
      <w:r>
        <w:tab/>
        <w:t>KRAUSE, Tlinkit-Indianer, p. 248.</w:t>
      </w:r>
    </w:p>
  </w:footnote>
  <w:footnote w:id="61">
    <w:p w:rsidR="009A6BD2" w:rsidRDefault="003E2D0F">
      <w:pPr>
        <w:pStyle w:val="Testonotaapidipagina"/>
      </w:pPr>
      <w:r>
        <w:rPr>
          <w:rStyle w:val="Rimandonotaapidipagina"/>
        </w:rPr>
        <w:footnoteRef/>
      </w:r>
      <w:r>
        <w:t xml:space="preserve"> </w:t>
      </w:r>
      <w:r>
        <w:tab/>
        <w:t xml:space="preserve">Erminnie A. SMITH, Myths of the Iroquois, in </w:t>
      </w:r>
      <w:r>
        <w:t>Second Rep. of the Bureau of Ethnol., p. 78.</w:t>
      </w:r>
    </w:p>
  </w:footnote>
  <w:footnote w:id="62">
    <w:p w:rsidR="009A6BD2" w:rsidRDefault="003E2D0F">
      <w:pPr>
        <w:pStyle w:val="Testonotaapidipagina"/>
      </w:pPr>
      <w:r>
        <w:rPr>
          <w:rStyle w:val="Rimandonotaapidipagina"/>
        </w:rPr>
        <w:footnoteRef/>
      </w:r>
      <w:r>
        <w:t xml:space="preserve"> </w:t>
      </w:r>
      <w:r>
        <w:tab/>
        <w:t>DODGE, Our Wild Indians, p. 225.</w:t>
      </w:r>
    </w:p>
  </w:footnote>
  <w:footnote w:id="63">
    <w:p w:rsidR="009A6BD2" w:rsidRDefault="003E2D0F">
      <w:pPr>
        <w:pStyle w:val="Testonotaapidipagina"/>
      </w:pPr>
      <w:r>
        <w:rPr>
          <w:rStyle w:val="Rimandonotaapidipagina"/>
        </w:rPr>
        <w:footnoteRef/>
      </w:r>
      <w:r>
        <w:t xml:space="preserve"> </w:t>
      </w:r>
      <w:r>
        <w:tab/>
        <w:t>POWELL, Wyandot Government, in I. Annual Report of the Bureau of Ethnology (1881), p. 64.</w:t>
      </w:r>
    </w:p>
  </w:footnote>
  <w:footnote w:id="64">
    <w:p w:rsidR="009A6BD2" w:rsidRDefault="003E2D0F">
      <w:pPr>
        <w:pStyle w:val="Testonotaapidipagina"/>
      </w:pPr>
      <w:r>
        <w:rPr>
          <w:rStyle w:val="Rimandonotaapidipagina"/>
        </w:rPr>
        <w:footnoteRef/>
      </w:r>
      <w:r>
        <w:t xml:space="preserve"> </w:t>
      </w:r>
      <w:r>
        <w:tab/>
        <w:t>DORSEY, Omaha Sociology, Third Rep., pp. 229, 240, 248.</w:t>
      </w:r>
    </w:p>
  </w:footnote>
  <w:footnote w:id="65">
    <w:p w:rsidR="009A6BD2" w:rsidRDefault="003E2D0F">
      <w:pPr>
        <w:pStyle w:val="Testonotaapidipagina"/>
      </w:pPr>
      <w:r>
        <w:rPr>
          <w:rStyle w:val="Rimandonotaapidipagina"/>
        </w:rPr>
        <w:footnoteRef/>
      </w:r>
      <w:r>
        <w:t xml:space="preserve"> </w:t>
      </w:r>
      <w:r>
        <w:tab/>
        <w:t>KRAUSE, Op. cit., pp</w:t>
      </w:r>
      <w:r>
        <w:t>. 130-131.</w:t>
      </w:r>
    </w:p>
  </w:footnote>
  <w:footnote w:id="66">
    <w:p w:rsidR="009A6BD2" w:rsidRDefault="003E2D0F">
      <w:pPr>
        <w:pStyle w:val="Testonotaapidipagina"/>
      </w:pPr>
      <w:r>
        <w:rPr>
          <w:rStyle w:val="Rimandonotaapidipagina"/>
        </w:rPr>
        <w:footnoteRef/>
      </w:r>
      <w:r>
        <w:t xml:space="preserve"> </w:t>
      </w:r>
      <w:r>
        <w:tab/>
        <w:t>KRAUSE, p. 308.</w:t>
      </w:r>
    </w:p>
  </w:footnote>
  <w:footnote w:id="67">
    <w:p w:rsidR="009A6BD2" w:rsidRDefault="003E2D0F">
      <w:pPr>
        <w:pStyle w:val="Testonotaapidipagina"/>
      </w:pPr>
      <w:r>
        <w:rPr>
          <w:rStyle w:val="Rimandonotaapidipagina"/>
        </w:rPr>
        <w:footnoteRef/>
      </w:r>
      <w:r>
        <w:t xml:space="preserve"> </w:t>
      </w:r>
      <w:r>
        <w:tab/>
        <w:t>V. une photographie d'un village Haida dans SWANTON, Op. cit., Pl. IX. Cf. TYLOR, Totem Post of the Haida Village of Masset, J.A.I., nouvelle série, I, p. 133.</w:t>
      </w:r>
    </w:p>
  </w:footnote>
  <w:footnote w:id="68">
    <w:p w:rsidR="009A6BD2" w:rsidRDefault="003E2D0F">
      <w:pPr>
        <w:pStyle w:val="Testonotaapidipagina"/>
      </w:pPr>
      <w:r>
        <w:rPr>
          <w:rStyle w:val="Rimandonotaapidipagina"/>
        </w:rPr>
        <w:footnoteRef/>
      </w:r>
      <w:r>
        <w:t xml:space="preserve"> </w:t>
      </w:r>
      <w:r>
        <w:tab/>
        <w:t>Hill TOUT, Report on the Ethnology of the Statlumh of Britis</w:t>
      </w:r>
      <w:r>
        <w:t>h Columbia, J.A.I., tome XXXV, 1905, p. 155.</w:t>
      </w:r>
    </w:p>
  </w:footnote>
  <w:footnote w:id="69">
    <w:p w:rsidR="009A6BD2" w:rsidRDefault="003E2D0F">
      <w:pPr>
        <w:pStyle w:val="Testonotaapidipagina"/>
      </w:pPr>
      <w:r>
        <w:rPr>
          <w:rStyle w:val="Rimandonotaapidipagina"/>
        </w:rPr>
        <w:footnoteRef/>
      </w:r>
      <w:r>
        <w:t xml:space="preserve"> </w:t>
      </w:r>
      <w:r>
        <w:tab/>
        <w:t>KRAUSE, op. cit., p. 230; SWANTON, Haida, pp. 129, 135 et suiv. ; SCHOOLCRAFT, Indian Tribes, I, pp. 52-53, 337, 356. Dans ce dernier cas, le totem est représenté renversé, en signe de deuil. On trouve des us</w:t>
      </w:r>
      <w:r>
        <w:t>ages similaires chez les Creek (C. SWAN, in SCHOOLCRAFT, Indian Tribes of the United States, V, p. 265), chez les Delaware (HECKEWELDER, An Account of the History, Manners a. Customs of the Indian Nations who once inhabited Pennsylvania, pp. 246-247).</w:t>
      </w:r>
    </w:p>
  </w:footnote>
  <w:footnote w:id="70">
    <w:p w:rsidR="009A6BD2" w:rsidRDefault="003E2D0F">
      <w:pPr>
        <w:pStyle w:val="Testonotaapidipagina"/>
      </w:pPr>
      <w:r>
        <w:rPr>
          <w:rStyle w:val="Rimandonotaapidipagina"/>
        </w:rPr>
        <w:footnoteRef/>
      </w:r>
      <w:r>
        <w:t xml:space="preserve"> </w:t>
      </w:r>
      <w:r>
        <w:tab/>
        <w:t>S</w:t>
      </w:r>
      <w:r>
        <w:t>PENCER et GILLEN North. Tr., pp. 168, 537, 540.</w:t>
      </w:r>
    </w:p>
  </w:footnote>
  <w:footnote w:id="71">
    <w:p w:rsidR="009A6BD2" w:rsidRDefault="003E2D0F">
      <w:pPr>
        <w:pStyle w:val="Testonotaapidipagina"/>
      </w:pPr>
      <w:r>
        <w:rPr>
          <w:rStyle w:val="Rimandonotaapidipagina"/>
        </w:rPr>
        <w:footnoteRef/>
      </w:r>
      <w:r>
        <w:t xml:space="preserve"> </w:t>
      </w:r>
      <w:r>
        <w:tab/>
        <w:t>SPENCER et GILLEN: ibid., p. 174.</w:t>
      </w:r>
    </w:p>
  </w:footnote>
  <w:footnote w:id="72">
    <w:p w:rsidR="009A6BD2" w:rsidRDefault="003E2D0F">
      <w:pPr>
        <w:pStyle w:val="Testonotaapidipagina"/>
      </w:pPr>
      <w:r>
        <w:rPr>
          <w:rStyle w:val="Rimandonotaapidipagina"/>
        </w:rPr>
        <w:footnoteRef/>
      </w:r>
      <w:r>
        <w:t xml:space="preserve"> </w:t>
      </w:r>
      <w:r>
        <w:tab/>
        <w:t xml:space="preserve">BROUGH SMYTH, The </w:t>
      </w:r>
      <w:r>
        <w:rPr>
          <w:i/>
          <w:iCs/>
        </w:rPr>
        <w:t xml:space="preserve">Aborigines of </w:t>
      </w:r>
      <w:r>
        <w:t>Victoria, I, p. 99.</w:t>
      </w:r>
    </w:p>
  </w:footnote>
  <w:footnote w:id="73">
    <w:p w:rsidR="009A6BD2" w:rsidRDefault="003E2D0F">
      <w:pPr>
        <w:pStyle w:val="Testonotaapidipagina"/>
      </w:pPr>
      <w:r>
        <w:rPr>
          <w:rStyle w:val="Rimandonotaapidipagina"/>
        </w:rPr>
        <w:footnoteRef/>
      </w:r>
      <w:r>
        <w:t xml:space="preserve"> </w:t>
      </w:r>
      <w:r>
        <w:tab/>
        <w:t>BROUGH SMYTH, I, p. 284. STREHLOW cite un fait du même genre chez les Arunta (III, p. 68).</w:t>
      </w:r>
    </w:p>
  </w:footnote>
  <w:footnote w:id="74">
    <w:p w:rsidR="009A6BD2" w:rsidRDefault="003E2D0F">
      <w:pPr>
        <w:pStyle w:val="Testonotaapidipagina"/>
      </w:pPr>
      <w:r>
        <w:rPr>
          <w:rStyle w:val="Rimandonotaapidipagina"/>
        </w:rPr>
        <w:footnoteRef/>
      </w:r>
      <w:r>
        <w:t xml:space="preserve"> </w:t>
      </w:r>
      <w:r>
        <w:tab/>
        <w:t>An Account of the E</w:t>
      </w:r>
      <w:r>
        <w:t>nglish Colony in N. S. Wales, II, p. 381.</w:t>
      </w:r>
    </w:p>
  </w:footnote>
  <w:footnote w:id="75">
    <w:p w:rsidR="009A6BD2" w:rsidRDefault="003E2D0F">
      <w:pPr>
        <w:pStyle w:val="Testonotaapidipagina"/>
      </w:pPr>
      <w:r>
        <w:rPr>
          <w:rStyle w:val="Rimandonotaapidipagina"/>
        </w:rPr>
        <w:footnoteRef/>
      </w:r>
      <w:r>
        <w:t xml:space="preserve"> </w:t>
      </w:r>
      <w:r>
        <w:tab/>
        <w:t>KRAUSE, p. 327.</w:t>
      </w:r>
    </w:p>
  </w:footnote>
  <w:footnote w:id="76">
    <w:p w:rsidR="009A6BD2" w:rsidRDefault="003E2D0F">
      <w:pPr>
        <w:pStyle w:val="Testonotaapidipagina"/>
      </w:pPr>
      <w:r>
        <w:rPr>
          <w:rStyle w:val="Rimandonotaapidipagina"/>
        </w:rPr>
        <w:footnoteRef/>
      </w:r>
      <w:r>
        <w:t xml:space="preserve"> </w:t>
      </w:r>
      <w:r>
        <w:tab/>
        <w:t>SWANTON, Social Condition, Beliefs a. linguistic Relationship of the Tlingit Indians, in XX-IVth Rep., p. 435 et suiv.; BOAS, The Social Organization and the Secret Societies of the Kwakiutl I</w:t>
      </w:r>
      <w:r>
        <w:t>ndians, p. 358.</w:t>
      </w:r>
    </w:p>
  </w:footnote>
  <w:footnote w:id="77">
    <w:p w:rsidR="009A6BD2" w:rsidRDefault="003E2D0F">
      <w:pPr>
        <w:pStyle w:val="Testonotaapidipagina"/>
      </w:pPr>
      <w:r>
        <w:rPr>
          <w:rStyle w:val="Rimandonotaapidipagina"/>
        </w:rPr>
        <w:footnoteRef/>
      </w:r>
      <w:r>
        <w:t xml:space="preserve"> </w:t>
      </w:r>
      <w:r>
        <w:tab/>
        <w:t>FRAZER, Tolemism, p. 26.</w:t>
      </w:r>
    </w:p>
  </w:footnote>
  <w:footnote w:id="78">
    <w:p w:rsidR="009A6BD2" w:rsidRDefault="003E2D0F">
      <w:pPr>
        <w:pStyle w:val="Testonotaapidipagina"/>
      </w:pPr>
      <w:r>
        <w:rPr>
          <w:rStyle w:val="Rimandonotaapidipagina"/>
        </w:rPr>
        <w:footnoteRef/>
      </w:r>
      <w:r>
        <w:t xml:space="preserve"> </w:t>
      </w:r>
      <w:r>
        <w:tab/>
        <w:t>BOURKE, The Snake Dance of the Moquis of Arizona, p. 229; J. W. FEWKES, The Group of Tusayan Ceremonials called Katcinas, in XVth Rep., 1897, pp. 251-263.</w:t>
      </w:r>
    </w:p>
  </w:footnote>
  <w:footnote w:id="79">
    <w:p w:rsidR="009A6BD2" w:rsidRDefault="003E2D0F">
      <w:pPr>
        <w:pStyle w:val="Testonotaapidipagina"/>
      </w:pPr>
      <w:r>
        <w:rPr>
          <w:rStyle w:val="Rimandonotaapidipagina"/>
        </w:rPr>
        <w:footnoteRef/>
      </w:r>
      <w:r>
        <w:t xml:space="preserve"> </w:t>
      </w:r>
      <w:r>
        <w:tab/>
        <w:t>MÜLLER, Geschichte der Amerikanischen Urreligionen,</w:t>
      </w:r>
      <w:r>
        <w:t xml:space="preserve"> p. 327.</w:t>
      </w:r>
    </w:p>
  </w:footnote>
  <w:footnote w:id="80">
    <w:p w:rsidR="009A6BD2" w:rsidRDefault="003E2D0F">
      <w:pPr>
        <w:pStyle w:val="Testonotaapidipagina"/>
      </w:pPr>
      <w:r>
        <w:rPr>
          <w:rStyle w:val="Rimandonotaapidipagina"/>
        </w:rPr>
        <w:footnoteRef/>
      </w:r>
      <w:r>
        <w:t xml:space="preserve"> </w:t>
      </w:r>
      <w:r>
        <w:tab/>
        <w:t>SCHOOLCRAFT, Indian Tribes, III, p. 269.</w:t>
      </w:r>
    </w:p>
  </w:footnote>
  <w:footnote w:id="81">
    <w:p w:rsidR="009A6BD2" w:rsidRDefault="003E2D0F">
      <w:pPr>
        <w:pStyle w:val="Testonotaapidipagina"/>
      </w:pPr>
      <w:r>
        <w:rPr>
          <w:rStyle w:val="Rimandonotaapidipagina"/>
        </w:rPr>
        <w:footnoteRef/>
      </w:r>
      <w:r>
        <w:t xml:space="preserve"> </w:t>
      </w:r>
      <w:r>
        <w:tab/>
        <w:t>DORSEY, Omaha Sociol, Third Rep., pp. 229, 238, 240, 245.</w:t>
      </w:r>
    </w:p>
  </w:footnote>
  <w:footnote w:id="82">
    <w:p w:rsidR="009A6BD2" w:rsidRDefault="003E2D0F">
      <w:pPr>
        <w:pStyle w:val="Testonotaapidipagina"/>
      </w:pPr>
      <w:r>
        <w:rPr>
          <w:rStyle w:val="Rimandonotaapidipagina"/>
        </w:rPr>
        <w:footnoteRef/>
      </w:r>
      <w:r>
        <w:t xml:space="preserve"> </w:t>
      </w:r>
      <w:r>
        <w:tab/>
        <w:t>SPENCER et GILLEN, Nat. Tr., p. 451.</w:t>
      </w:r>
    </w:p>
  </w:footnote>
  <w:footnote w:id="83">
    <w:p w:rsidR="009A6BD2" w:rsidRDefault="003E2D0F">
      <w:pPr>
        <w:pStyle w:val="Testonotaapidipagina"/>
      </w:pPr>
      <w:r>
        <w:rPr>
          <w:rStyle w:val="Rimandonotaapidipagina"/>
        </w:rPr>
        <w:footnoteRef/>
      </w:r>
      <w:r>
        <w:t xml:space="preserve"> </w:t>
      </w:r>
      <w:r>
        <w:tab/>
        <w:t>SPENCER et GILLEN, ibid., p. 257.</w:t>
      </w:r>
    </w:p>
  </w:footnote>
  <w:footnote w:id="84">
    <w:p w:rsidR="009A6BD2" w:rsidRDefault="003E2D0F">
      <w:pPr>
        <w:pStyle w:val="Testonotaapidipagina"/>
      </w:pPr>
      <w:r>
        <w:rPr>
          <w:rStyle w:val="Rimandonotaapidipagina"/>
        </w:rPr>
        <w:footnoteRef/>
      </w:r>
      <w:r>
        <w:t xml:space="preserve"> </w:t>
      </w:r>
      <w:r>
        <w:tab/>
        <w:t>On verra plus loin (I, I, chap. IV), ce qui signifient ces rap</w:t>
      </w:r>
      <w:r>
        <w:t>ports de parenté.</w:t>
      </w:r>
    </w:p>
  </w:footnote>
  <w:footnote w:id="85">
    <w:p w:rsidR="009A6BD2" w:rsidRDefault="003E2D0F">
      <w:pPr>
        <w:pStyle w:val="Testonotaapidipagina"/>
      </w:pPr>
      <w:r>
        <w:rPr>
          <w:rStyle w:val="Rimandonotaapidipagina"/>
        </w:rPr>
        <w:footnoteRef/>
      </w:r>
      <w:r>
        <w:t xml:space="preserve"> </w:t>
      </w:r>
      <w:r>
        <w:tab/>
        <w:t>SPENCER et GILLEN, North. Tr., p. 296.</w:t>
      </w:r>
    </w:p>
  </w:footnote>
  <w:footnote w:id="86">
    <w:p w:rsidR="009A6BD2" w:rsidRDefault="003E2D0F">
      <w:pPr>
        <w:pStyle w:val="Testonotaapidipagina"/>
      </w:pPr>
      <w:r>
        <w:rPr>
          <w:rStyle w:val="Rimandonotaapidipagina"/>
        </w:rPr>
        <w:footnoteRef/>
      </w:r>
      <w:r>
        <w:t xml:space="preserve"> </w:t>
      </w:r>
      <w:r>
        <w:tab/>
        <w:t>HOWITT, Nat. Tr., p. 744-746; cf. p. 129.</w:t>
      </w:r>
    </w:p>
  </w:footnote>
  <w:footnote w:id="87">
    <w:p w:rsidR="009A6BD2" w:rsidRDefault="003E2D0F">
      <w:pPr>
        <w:pStyle w:val="Testonotaapidipagina"/>
      </w:pPr>
      <w:r>
        <w:rPr>
          <w:rStyle w:val="Rimandonotaapidipagina"/>
        </w:rPr>
        <w:footnoteRef/>
      </w:r>
      <w:r>
        <w:t xml:space="preserve"> </w:t>
      </w:r>
      <w:r>
        <w:tab/>
        <w:t>Kamilaroi and Kurnai, p. 66, note. Le fait est, il est vrai, contesté par d'autres informateurs.</w:t>
      </w:r>
    </w:p>
  </w:footnote>
  <w:footnote w:id="88">
    <w:p w:rsidR="009A6BD2" w:rsidRDefault="003E2D0F">
      <w:pPr>
        <w:pStyle w:val="Testonotaapidipagina"/>
      </w:pPr>
      <w:r>
        <w:rPr>
          <w:rStyle w:val="Rimandonotaapidipagina"/>
        </w:rPr>
        <w:footnoteRef/>
      </w:r>
      <w:r>
        <w:t xml:space="preserve"> </w:t>
      </w:r>
      <w:r>
        <w:tab/>
        <w:t>HOWITT, Nat. Tr., p. 744.</w:t>
      </w:r>
    </w:p>
  </w:footnote>
  <w:footnote w:id="89">
    <w:p w:rsidR="009A6BD2" w:rsidRDefault="003E2D0F">
      <w:pPr>
        <w:pStyle w:val="Testonotaapidipagina"/>
      </w:pPr>
      <w:r>
        <w:rPr>
          <w:rStyle w:val="Rimandonotaapidipagina"/>
        </w:rPr>
        <w:footnoteRef/>
      </w:r>
      <w:r>
        <w:t xml:space="preserve"> </w:t>
      </w:r>
      <w:r>
        <w:tab/>
        <w:t>SWANTON, Contributi</w:t>
      </w:r>
      <w:r>
        <w:t>ons Io the Ethnology of the Haida, p. 41 et suiv., Pl. XX et XXI ; BOAS, The Social Organization of the Kwakiutl, p. 318 ; SWANTON, Tlingit, pl. XVI et sq. - Dans un cas, étranger d'ailleurs aux deux régions ethnographiques que nous étudions plus spécialem</w:t>
      </w:r>
      <w:r>
        <w:t xml:space="preserve">ent, ces tatouages sont pratiqués sur les animaux qui appartiennent au clan. Les Bechuana du sud de l'Afrique sont divisés en un certain nombre de clans : il y a les gens du crocodile, du buffle, du singe, etc. Or, les gens du crocodile, par exemple, font </w:t>
      </w:r>
      <w:r>
        <w:t>aux oreilles de leurs bestiaux, une incision, qui rappelle par sa forme, la gueule de l'animal (CASALIS, Les Basoulos, p. 221). Suivant Robertson SMITH, le même usage aurait existé chez les anciens Arabes (Kinship and Marriage in early Arabia, pp. 212-214)</w:t>
      </w:r>
      <w:r>
        <w:t>.</w:t>
      </w:r>
    </w:p>
  </w:footnote>
  <w:footnote w:id="90">
    <w:p w:rsidR="009A6BD2" w:rsidRDefault="003E2D0F">
      <w:pPr>
        <w:pStyle w:val="Testonotaapidipagina"/>
      </w:pPr>
      <w:r>
        <w:rPr>
          <w:rStyle w:val="Rimandonotaapidipagina"/>
        </w:rPr>
        <w:footnoteRef/>
      </w:r>
      <w:r>
        <w:t xml:space="preserve"> </w:t>
      </w:r>
      <w:r>
        <w:tab/>
        <w:t>Il en est qui, suivant SPENCER et GILLEN, n'auraient aucun sens religieux (v. Nat. Tr., pp. 41-42; North. Tr., pp. 45, 54-56).</w:t>
      </w:r>
    </w:p>
  </w:footnote>
  <w:footnote w:id="91">
    <w:p w:rsidR="009A6BD2" w:rsidRDefault="003E2D0F">
      <w:pPr>
        <w:pStyle w:val="Testonotaapidipagina"/>
      </w:pPr>
      <w:r>
        <w:rPr>
          <w:rStyle w:val="Rimandonotaapidipagina"/>
        </w:rPr>
        <w:footnoteRef/>
      </w:r>
      <w:r>
        <w:t xml:space="preserve"> </w:t>
      </w:r>
      <w:r>
        <w:tab/>
        <w:t>Chez les Arunta, la règle comporte des exceptions qui seront expliquées plus loin.</w:t>
      </w:r>
    </w:p>
  </w:footnote>
  <w:footnote w:id="92">
    <w:p w:rsidR="009A6BD2" w:rsidRDefault="003E2D0F">
      <w:pPr>
        <w:pStyle w:val="Testonotaapidipagina"/>
      </w:pPr>
      <w:r>
        <w:rPr>
          <w:rStyle w:val="Rimandonotaapidipagina"/>
        </w:rPr>
        <w:footnoteRef/>
      </w:r>
      <w:r>
        <w:t xml:space="preserve"> </w:t>
      </w:r>
      <w:r>
        <w:tab/>
        <w:t>SPENCER et GILLEN, Nat. Tr., p. 162</w:t>
      </w:r>
      <w:r>
        <w:t>; North. Tr., pp. 179, 259, 292, 295-296 ; SCHULZE, loc. cit., p. 221. Ce qui est ainsi représenté, ce n'est pas toujours le totem lui-même, mais un des objets qui, associés à ce totem, sont considérés comme choses de la même famille.</w:t>
      </w:r>
    </w:p>
  </w:footnote>
  <w:footnote w:id="93">
    <w:p w:rsidR="009A6BD2" w:rsidRDefault="003E2D0F">
      <w:pPr>
        <w:pStyle w:val="Testonotaapidipagina"/>
      </w:pPr>
      <w:r>
        <w:rPr>
          <w:rStyle w:val="Rimandonotaapidipagina"/>
        </w:rPr>
        <w:footnoteRef/>
      </w:r>
      <w:r>
        <w:t xml:space="preserve"> </w:t>
      </w:r>
      <w:r>
        <w:tab/>
        <w:t xml:space="preserve">C'est le cas, par </w:t>
      </w:r>
      <w:r>
        <w:t>exemple, chez les Warramunga, les Walpari, les Wulmala, les Tjingilli, les Umbaia, les Unmatjera (North. Tr., pp. 348, 339). Chez les Warramunga, au moment où le dessin est exécuté, les opérateurs adressent à l'initié les paroles suivantes : « Cette marque</w:t>
      </w:r>
      <w:r>
        <w:t xml:space="preserve"> appartient à votre localité (your place) : ne portez pas les yeux sur une autre localité. » « Ce langage signifie, disent SPENCER et GILLEN, que le jeune homme ne doit pas s'ingérer dans d'autres cérémonies que celles qui concernent son totem; elles témoi</w:t>
      </w:r>
      <w:r>
        <w:t>gnent également de l'étroite association qui est supposée exister entre un homme, son totem et l'endroit spécialement consacré à ce totem » (North. Tr., p. 584). Chez les Warramunga, le totem se transmet du père aux enfants; par suite, chaque localité a le</w:t>
      </w:r>
      <w:r>
        <w:t xml:space="preserve"> sien.</w:t>
      </w:r>
    </w:p>
  </w:footnote>
  <w:footnote w:id="94">
    <w:p w:rsidR="009A6BD2" w:rsidRDefault="003E2D0F">
      <w:pPr>
        <w:pStyle w:val="Testonotaapidipagina"/>
      </w:pPr>
      <w:r>
        <w:rPr>
          <w:rStyle w:val="Rimandonotaapidipagina"/>
        </w:rPr>
        <w:footnoteRef/>
      </w:r>
      <w:r>
        <w:t xml:space="preserve"> </w:t>
      </w:r>
      <w:r>
        <w:tab/>
        <w:t>SPENCER et GILLEN, Nat. Tr., pp. 215, 241, 376.</w:t>
      </w:r>
    </w:p>
  </w:footnote>
  <w:footnote w:id="95">
    <w:p w:rsidR="009A6BD2" w:rsidRDefault="003E2D0F">
      <w:pPr>
        <w:pStyle w:val="Testonotaapidipagina"/>
      </w:pPr>
      <w:r>
        <w:rPr>
          <w:rStyle w:val="Rimandonotaapidipagina"/>
        </w:rPr>
        <w:footnoteRef/>
      </w:r>
      <w:r>
        <w:t xml:space="preserve"> </w:t>
      </w:r>
      <w:r>
        <w:tab/>
        <w:t>On se rappelle (v. plus haut, p. 150) que, dans cette tribu, l'enfant peut avoir un autre totem que celui de son père ou de sa mère et, plus généralement, de ses proches. Or les proches, d'un côt</w:t>
      </w:r>
      <w:r>
        <w:t>é ou de l'autre, sont les opérateurs désignés pour les cérémonies de l'initiation. Par conséquent, comme un homme, en principe, n'a qualité d'opérateur ou d'officiant que pour les cérémonies de son totem, il s'ensuit que, dans certains cas, les rites auxqu</w:t>
      </w:r>
      <w:r>
        <w:t>els l'enfant est initié concernent forcément un totem autre que le sien. Voilà comment les peintures exécutées sur le corps du novice ne représentent pas nécessairement le totem de ce dernier: on trouvera des cas de ce genre dans SPENCER et GILLEN, Nat. Tr</w:t>
      </w:r>
      <w:r>
        <w:t>., p. 229. Ce qui montre bien, d'ailleurs, qu'il y a là une anomalie, c'est que, néanmoins, les cérémonies de la circoncision ressortissent essentiellement au totem qui prédomine dans le groupe local de l'initié, c'est-à-dire au totem qui serait celui de l</w:t>
      </w:r>
      <w:r>
        <w:t>'initié lui-même, si l'organisation totémique n'était pas perturbée, si elle était chez les Arunta ce qu'elle est chez les Warramunga (V. SPENCER et GILLEN, ibid., p. 219).</w:t>
      </w:r>
    </w:p>
    <w:p w:rsidR="009A6BD2" w:rsidRDefault="003E2D0F">
      <w:pPr>
        <w:pStyle w:val="Testonotaapidipagina"/>
        <w:ind w:firstLine="346"/>
      </w:pPr>
      <w:r>
        <w:t>La même perturbation a eu une autre conséquence. D'une manière générale, elle a pou</w:t>
      </w:r>
      <w:r>
        <w:t>r effet de détendre quelque peu les liens qui unissent chaque totem à un groupe déterminé, puisqu'un même totem peut compter des membres dans tous les groupes locaux possibles, et même dans les deux phratries indistinctement. L'idée que les cérémonies d'un</w:t>
      </w:r>
      <w:r>
        <w:t xml:space="preserve"> totem pouvaient être célébrées par un individu d'un totem différentidée qui est contraire aux principes même du totémisme, comme nous le verrons mieux encore dans la suite - a pu s'établir ainsi sans soulever trop de résistances. On a admis qu'un homme à </w:t>
      </w:r>
      <w:r>
        <w:t>qui un esprit révélait la formule d'une cérémonie avait qualité pour la présider, alors même qu'il n'était pas du totem intéressé (Nat. Tr., p. 519). Mais ce qui prouve que c'est là une exception à la règle et le produit d'une sorte de tolérance, c'est que</w:t>
      </w:r>
      <w:r>
        <w:t xml:space="preserve"> le bénéficiaire de la formule ainsi révélée n'en a pas la libre disposition; s'il la transmet - et ces transmissions sont fréquentes-ce ne peut-être qu'à un membre du totem auquel se rapporte le rite (Nat. Tr., ibid.).</w:t>
      </w:r>
    </w:p>
  </w:footnote>
  <w:footnote w:id="96">
    <w:p w:rsidR="009A6BD2" w:rsidRDefault="003E2D0F">
      <w:pPr>
        <w:pStyle w:val="Testonotaapidipagina"/>
      </w:pPr>
      <w:r>
        <w:rPr>
          <w:rStyle w:val="Rimandonotaapidipagina"/>
        </w:rPr>
        <w:footnoteRef/>
      </w:r>
      <w:r>
        <w:t xml:space="preserve"> </w:t>
      </w:r>
      <w:r>
        <w:tab/>
        <w:t>Nat. Tr., p. 140. Dans ce cas, le</w:t>
      </w:r>
      <w:r>
        <w:t xml:space="preserve"> novice conserve la décoration dont il a été ainsi paré jusqu'à ce que, par l'effet du temps, elle s'efface d'elle-même.</w:t>
      </w:r>
    </w:p>
  </w:footnote>
  <w:footnote w:id="97">
    <w:p w:rsidR="009A6BD2" w:rsidRDefault="003E2D0F">
      <w:pPr>
        <w:pStyle w:val="Testonotaapidipagina"/>
      </w:pPr>
      <w:r>
        <w:rPr>
          <w:rStyle w:val="Rimandonotaapidipagina"/>
        </w:rPr>
        <w:footnoteRef/>
      </w:r>
      <w:r>
        <w:t xml:space="preserve"> </w:t>
      </w:r>
      <w:r>
        <w:tab/>
        <w:t>BOAS, General Report on the Indians of British Columbia, in British Association for the Advancement of Science, Fifth Rep. of the Co</w:t>
      </w:r>
      <w:r>
        <w:t>mmittee on the N. W. Tribes of the Dominion of Canada, p. 41.</w:t>
      </w:r>
    </w:p>
  </w:footnote>
  <w:footnote w:id="98">
    <w:p w:rsidR="009A6BD2" w:rsidRDefault="003E2D0F">
      <w:pPr>
        <w:pStyle w:val="Testonotaapidipagina"/>
      </w:pPr>
      <w:r>
        <w:rPr>
          <w:rStyle w:val="Rimandonotaapidipagina"/>
        </w:rPr>
        <w:footnoteRef/>
      </w:r>
      <w:r>
        <w:t xml:space="preserve"> </w:t>
      </w:r>
      <w:r>
        <w:tab/>
        <w:t>Il y en a aussi chez les Warramunga, mais en plus petit nombre que chez les Arunta, et ils ne figurent pas dans les cérémonies totémiques bien qu'ils tiennent une certaine place dans les myth</w:t>
      </w:r>
      <w:r>
        <w:t>es (North. Tr., p. 163).</w:t>
      </w:r>
    </w:p>
  </w:footnote>
  <w:footnote w:id="99">
    <w:p w:rsidR="009A6BD2" w:rsidRDefault="003E2D0F">
      <w:pPr>
        <w:pStyle w:val="Testonotaapidipagina"/>
      </w:pPr>
      <w:r>
        <w:rPr>
          <w:rStyle w:val="Rimandonotaapidipagina"/>
        </w:rPr>
        <w:footnoteRef/>
      </w:r>
      <w:r>
        <w:t xml:space="preserve"> </w:t>
      </w:r>
      <w:r>
        <w:tab/>
        <w:t>D'autres noms sont employés dans les autres tribus. Nous donnons un sens générique au terme Arunta parce que c'est dans cette tribu que les churinga tiennent le plus de place et ont été le mieux étudiés.</w:t>
      </w:r>
    </w:p>
  </w:footnote>
  <w:footnote w:id="100">
    <w:p w:rsidR="009A6BD2" w:rsidRDefault="003E2D0F">
      <w:pPr>
        <w:pStyle w:val="Testonotaapidipagina"/>
      </w:pPr>
      <w:r>
        <w:rPr>
          <w:rStyle w:val="Rimandonotaapidipagina"/>
        </w:rPr>
        <w:footnoteRef/>
      </w:r>
      <w:r>
        <w:t xml:space="preserve"> </w:t>
      </w:r>
      <w:r>
        <w:tab/>
        <w:t>STREHLOW, II, p. 81.</w:t>
      </w:r>
    </w:p>
  </w:footnote>
  <w:footnote w:id="101">
    <w:p w:rsidR="009A6BD2" w:rsidRDefault="003E2D0F">
      <w:pPr>
        <w:pStyle w:val="Testonotaapidipagina"/>
      </w:pPr>
      <w:r>
        <w:rPr>
          <w:rStyle w:val="Rimandonotaapidipagina"/>
        </w:rPr>
        <w:footnoteRef/>
      </w:r>
      <w:r>
        <w:t xml:space="preserve"> </w:t>
      </w:r>
      <w:r>
        <w:tab/>
        <w:t>Il y en a quelques-uns, mais en petit nombre, qui ne portent aucun dessin apparent (v. SPENCER et GILLEN, Nat. Tr., p. 144).</w:t>
      </w:r>
    </w:p>
  </w:footnote>
  <w:footnote w:id="102">
    <w:p w:rsidR="009A6BD2" w:rsidRDefault="003E2D0F">
      <w:pPr>
        <w:pStyle w:val="Testonotaapidipagina"/>
      </w:pPr>
      <w:r>
        <w:rPr>
          <w:rStyle w:val="Rimandonotaapidipagina"/>
        </w:rPr>
        <w:footnoteRef/>
      </w:r>
      <w:r>
        <w:t xml:space="preserve"> </w:t>
      </w:r>
      <w:r>
        <w:tab/>
        <w:t>Nat. Tr., p. 139 et 648; STREHLOW, II, p. 75.</w:t>
      </w:r>
    </w:p>
  </w:footnote>
  <w:footnote w:id="103">
    <w:p w:rsidR="009A6BD2" w:rsidRDefault="003E2D0F">
      <w:pPr>
        <w:pStyle w:val="Testonotaapidipagina"/>
      </w:pPr>
      <w:r>
        <w:rPr>
          <w:rStyle w:val="Rimandonotaapidipagina"/>
        </w:rPr>
        <w:footnoteRef/>
      </w:r>
      <w:r>
        <w:t xml:space="preserve"> </w:t>
      </w:r>
      <w:r>
        <w:tab/>
        <w:t>Strehlow, qui écrit Tjurunga, donne du mot une traduction un peu différente.</w:t>
      </w:r>
      <w:r>
        <w:t xml:space="preserve"> « Ce mot, dit-il, signifie ce qui est secret et personnel (der eigene geheime). Tju est un vieux mot qui signifie caché, secret, et runga veut dire ce qui m'est propre. » Mais Kempe qui a, en la matière, plus d'autorité que Strehlow, traduit tju par grand</w:t>
      </w:r>
      <w:r>
        <w:t>, puissant, sacré (KEMPE, Vocabulary of the Tribes inhabiting Macdonnell Ranges, s. v. Tju, in Transactions of the R. Society of Victoria, tome XIII). D'ailleurs, au fond, la traduction de Strehlow ne s'éloigne pas de la précédente autant qu'on pourrait le</w:t>
      </w:r>
      <w:r>
        <w:t xml:space="preserve"> croire au premier abord ; car ce qui est secret, c'est ce qui est soustrait à la connaissance des profanes, c'est-à-dire ce qui est sacré. Quant à la signification attribuée au mot runga, elle nous parait très douteuse. Les cérémonies de l'émou appartienn</w:t>
      </w:r>
      <w:r>
        <w:t>ent à tous les membres du clan de l'émou ; tous peuvent y participer; elles ne sont donc la chose personnelle d'aucun d'eux.</w:t>
      </w:r>
    </w:p>
  </w:footnote>
  <w:footnote w:id="104">
    <w:p w:rsidR="009A6BD2" w:rsidRDefault="003E2D0F">
      <w:pPr>
        <w:pStyle w:val="Testonotaapidipagina"/>
      </w:pPr>
      <w:r>
        <w:rPr>
          <w:rStyle w:val="Rimandonotaapidipagina"/>
        </w:rPr>
        <w:footnoteRef/>
      </w:r>
      <w:r>
        <w:t xml:space="preserve"> </w:t>
      </w:r>
      <w:r>
        <w:tab/>
        <w:t>Nat. Tr., pp. 130-132 ; STREHLOW, II, p. 78. Une femme qui a vu churinga et l'homme qui le lui a montré sont également mis à mor</w:t>
      </w:r>
      <w:r>
        <w:t>t.</w:t>
      </w:r>
    </w:p>
  </w:footnote>
  <w:footnote w:id="105">
    <w:p w:rsidR="009A6BD2" w:rsidRDefault="003E2D0F">
      <w:pPr>
        <w:pStyle w:val="Testonotaapidipagina"/>
      </w:pPr>
      <w:r>
        <w:rPr>
          <w:rStyle w:val="Rimandonotaapidipagina"/>
        </w:rPr>
        <w:footnoteRef/>
      </w:r>
      <w:r>
        <w:t xml:space="preserve"> </w:t>
      </w:r>
      <w:r>
        <w:tab/>
        <w:t>Strehlow appelle cet endroit, défini exactement dans les termes mêmes qu'emploient Spencer et GILLEN, arknanaua au lieu d'ertnatulunga (STREHLOW, II, p. 78).</w:t>
      </w:r>
    </w:p>
  </w:footnote>
  <w:footnote w:id="106">
    <w:p w:rsidR="009A6BD2" w:rsidRDefault="003E2D0F">
      <w:pPr>
        <w:pStyle w:val="Testonotaapidipagina"/>
      </w:pPr>
      <w:r>
        <w:rPr>
          <w:rStyle w:val="Rimandonotaapidipagina"/>
        </w:rPr>
        <w:footnoteRef/>
      </w:r>
      <w:r>
        <w:t xml:space="preserve"> </w:t>
      </w:r>
      <w:r>
        <w:tab/>
        <w:t>North. Tr., p. 270; Nat. Tr., p. 140.</w:t>
      </w:r>
    </w:p>
  </w:footnote>
  <w:footnote w:id="107">
    <w:p w:rsidR="009A6BD2" w:rsidRDefault="003E2D0F">
      <w:pPr>
        <w:pStyle w:val="Testonotaapidipagina"/>
      </w:pPr>
      <w:r>
        <w:rPr>
          <w:rStyle w:val="Rimandonotaapidipagina"/>
        </w:rPr>
        <w:footnoteRef/>
      </w:r>
      <w:r>
        <w:t xml:space="preserve"> </w:t>
      </w:r>
      <w:r>
        <w:tab/>
        <w:t>Nat. Tr., p. 135.</w:t>
      </w:r>
    </w:p>
  </w:footnote>
  <w:footnote w:id="108">
    <w:p w:rsidR="009A6BD2" w:rsidRDefault="003E2D0F">
      <w:pPr>
        <w:pStyle w:val="Testonotaapidipagina"/>
      </w:pPr>
      <w:r>
        <w:rPr>
          <w:rStyle w:val="Rimandonotaapidipagina"/>
        </w:rPr>
        <w:footnoteRef/>
      </w:r>
      <w:r>
        <w:t xml:space="preserve"> </w:t>
      </w:r>
      <w:r>
        <w:tab/>
        <w:t>STREHLOW, II, p. 78. Strehl</w:t>
      </w:r>
      <w:r>
        <w:t>ow dit pourtant qu'un meurtrier qui se réfugie près d'un ertnatulunga y est impitoyablement poursuivi et mis à mort. Nous avons quelque mal à concilier ce fait avec le privilège dont jouissent les animaux, et nous nous demandons si la rigueur plus grande a</w:t>
      </w:r>
      <w:r>
        <w:t>vec laquelle le criminel est traité n'est pas récente et si elle ne doit pas être attribuée à un affaiblissement du tabou qui protégeait primitivement l'ertnatulunga.</w:t>
      </w:r>
    </w:p>
  </w:footnote>
  <w:footnote w:id="109">
    <w:p w:rsidR="009A6BD2" w:rsidRDefault="003E2D0F">
      <w:pPr>
        <w:pStyle w:val="Testonotaapidipagina"/>
      </w:pPr>
      <w:r>
        <w:rPr>
          <w:rStyle w:val="Rimandonotaapidipagina"/>
        </w:rPr>
        <w:footnoteRef/>
      </w:r>
      <w:r>
        <w:t xml:space="preserve"> </w:t>
      </w:r>
      <w:r>
        <w:tab/>
        <w:t>Nat. Tr., p. 248.</w:t>
      </w:r>
    </w:p>
  </w:footnote>
  <w:footnote w:id="110">
    <w:p w:rsidR="009A6BD2" w:rsidRDefault="003E2D0F">
      <w:pPr>
        <w:pStyle w:val="Testonotaapidipagina"/>
      </w:pPr>
      <w:r>
        <w:rPr>
          <w:rStyle w:val="Rimandonotaapidipagina"/>
        </w:rPr>
        <w:footnoteRef/>
      </w:r>
      <w:r>
        <w:t xml:space="preserve"> </w:t>
      </w:r>
      <w:r>
        <w:tab/>
        <w:t>Ibid., pp. 545-546. STREHLOW, II, p. 79. Par exemple, la poussièr</w:t>
      </w:r>
      <w:r>
        <w:t>e détachée par grattage d'un churinga de pierre et dissoute dans de l'eau constitue une potion qui rend la santé aux malades.</w:t>
      </w:r>
    </w:p>
  </w:footnote>
  <w:footnote w:id="111">
    <w:p w:rsidR="009A6BD2" w:rsidRDefault="003E2D0F">
      <w:pPr>
        <w:pStyle w:val="Testonotaapidipagina"/>
      </w:pPr>
      <w:r>
        <w:rPr>
          <w:rStyle w:val="Rimandonotaapidipagina"/>
        </w:rPr>
        <w:footnoteRef/>
      </w:r>
      <w:r>
        <w:t xml:space="preserve"> </w:t>
      </w:r>
      <w:r>
        <w:tab/>
        <w:t>Nat. Tr., pp. 545-546. STREHLOW (II, p. 79) conteste le fait.</w:t>
      </w:r>
    </w:p>
  </w:footnote>
  <w:footnote w:id="112">
    <w:p w:rsidR="009A6BD2" w:rsidRDefault="003E2D0F">
      <w:pPr>
        <w:pStyle w:val="Testonotaapidipagina"/>
      </w:pPr>
      <w:r>
        <w:rPr>
          <w:rStyle w:val="Rimandonotaapidipagina"/>
        </w:rPr>
        <w:footnoteRef/>
      </w:r>
      <w:r>
        <w:t xml:space="preserve"> </w:t>
      </w:r>
      <w:r>
        <w:tab/>
        <w:t xml:space="preserve">Par exemple, un churinga du totem de l'Igname, déposé dans le </w:t>
      </w:r>
      <w:r>
        <w:t>sol, y fait pousser les ignames (North. Tr., p. 275). Il a le même pouvoir sur les animaux (STREHLOW, II, p. 76, 78; III, pp. 3, 7).</w:t>
      </w:r>
    </w:p>
  </w:footnote>
  <w:footnote w:id="113">
    <w:p w:rsidR="009A6BD2" w:rsidRDefault="003E2D0F">
      <w:pPr>
        <w:pStyle w:val="Testonotaapidipagina"/>
      </w:pPr>
      <w:r>
        <w:rPr>
          <w:rStyle w:val="Rimandonotaapidipagina"/>
        </w:rPr>
        <w:footnoteRef/>
      </w:r>
      <w:r>
        <w:t xml:space="preserve"> </w:t>
      </w:r>
      <w:r>
        <w:tab/>
        <w:t>Nat. Tr., p. 135; STREHLOW, II, p. 79.</w:t>
      </w:r>
    </w:p>
  </w:footnote>
  <w:footnote w:id="114">
    <w:p w:rsidR="009A6BD2" w:rsidRDefault="003E2D0F">
      <w:pPr>
        <w:pStyle w:val="Testonotaapidipagina"/>
      </w:pPr>
      <w:r>
        <w:rPr>
          <w:rStyle w:val="Rimandonotaapidipagina"/>
        </w:rPr>
        <w:footnoteRef/>
      </w:r>
      <w:r>
        <w:t xml:space="preserve"> </w:t>
      </w:r>
      <w:r>
        <w:tab/>
        <w:t>North. Tr., p. 278.</w:t>
      </w:r>
    </w:p>
  </w:footnote>
  <w:footnote w:id="115">
    <w:p w:rsidR="009A6BD2" w:rsidRDefault="003E2D0F">
      <w:pPr>
        <w:pStyle w:val="Testonotaapidipagina"/>
      </w:pPr>
      <w:r>
        <w:rPr>
          <w:rStyle w:val="Rimandonotaapidipagina"/>
        </w:rPr>
        <w:footnoteRef/>
      </w:r>
      <w:r>
        <w:t xml:space="preserve"> </w:t>
      </w:r>
      <w:r>
        <w:tab/>
        <w:t>Ibid., p. 180.</w:t>
      </w:r>
    </w:p>
  </w:footnote>
  <w:footnote w:id="116">
    <w:p w:rsidR="009A6BD2" w:rsidRDefault="003E2D0F">
      <w:pPr>
        <w:pStyle w:val="Testonotaapidipagina"/>
      </w:pPr>
      <w:r>
        <w:rPr>
          <w:rStyle w:val="Rimandonotaapidipagina"/>
        </w:rPr>
        <w:footnoteRef/>
      </w:r>
      <w:r>
        <w:t xml:space="preserve"> </w:t>
      </w:r>
      <w:r>
        <w:tab/>
        <w:t>Ibid., pp. 272-273.</w:t>
      </w:r>
    </w:p>
  </w:footnote>
  <w:footnote w:id="117">
    <w:p w:rsidR="009A6BD2" w:rsidRDefault="003E2D0F">
      <w:pPr>
        <w:pStyle w:val="Testonotaapidipagina"/>
      </w:pPr>
      <w:r>
        <w:rPr>
          <w:rStyle w:val="Rimandonotaapidipagina"/>
        </w:rPr>
        <w:footnoteRef/>
      </w:r>
      <w:r>
        <w:t xml:space="preserve"> </w:t>
      </w:r>
      <w:r>
        <w:tab/>
        <w:t>Nat. Tr., p. 1</w:t>
      </w:r>
      <w:r>
        <w:t>35.</w:t>
      </w:r>
    </w:p>
  </w:footnote>
  <w:footnote w:id="118">
    <w:p w:rsidR="009A6BD2" w:rsidRDefault="003E2D0F">
      <w:pPr>
        <w:pStyle w:val="Testonotaapidipagina"/>
      </w:pPr>
      <w:r>
        <w:rPr>
          <w:rStyle w:val="Rimandonotaapidipagina"/>
        </w:rPr>
        <w:footnoteRef/>
      </w:r>
      <w:r>
        <w:t xml:space="preserve"> </w:t>
      </w:r>
      <w:r>
        <w:tab/>
        <w:t>Un groupe emprunte à un autre ses churinga, dans cette pensée que ces derniers lui communiqueront quelque chose des vertus qui sont en eux, que leur présence rehaussera la vitalité des individus et de la collectivité (Nat. Tr., p. 158 et suiv.).</w:t>
      </w:r>
    </w:p>
  </w:footnote>
  <w:footnote w:id="119">
    <w:p w:rsidR="009A6BD2" w:rsidRDefault="003E2D0F">
      <w:pPr>
        <w:pStyle w:val="Testonotaapidipagina"/>
      </w:pPr>
      <w:r>
        <w:rPr>
          <w:rStyle w:val="Rimandonotaapidipagina"/>
        </w:rPr>
        <w:footnoteRef/>
      </w:r>
      <w:r>
        <w:t xml:space="preserve"> </w:t>
      </w:r>
      <w:r>
        <w:tab/>
      </w:r>
      <w:r>
        <w:t>Ibid., p. 136.</w:t>
      </w:r>
    </w:p>
  </w:footnote>
  <w:footnote w:id="120">
    <w:p w:rsidR="009A6BD2" w:rsidRDefault="003E2D0F">
      <w:pPr>
        <w:pStyle w:val="Testonotaapidipagina"/>
      </w:pPr>
      <w:r>
        <w:rPr>
          <w:rStyle w:val="Rimandonotaapidipagina"/>
        </w:rPr>
        <w:footnoteRef/>
      </w:r>
      <w:r>
        <w:t xml:space="preserve"> </w:t>
      </w:r>
      <w:r>
        <w:tab/>
        <w:t>Chaque individu est uni par un lien particulier d'abord à un churinga spécial qui lui sert de gage de vie, puis à ceux qu'il a reçus de ses parents par voie d'héritage.</w:t>
      </w:r>
    </w:p>
  </w:footnote>
  <w:footnote w:id="121">
    <w:p w:rsidR="009A6BD2" w:rsidRDefault="003E2D0F">
      <w:pPr>
        <w:pStyle w:val="Testonotaapidipagina"/>
      </w:pPr>
      <w:r>
        <w:rPr>
          <w:rStyle w:val="Rimandonotaapidipagina"/>
        </w:rPr>
        <w:footnoteRef/>
      </w:r>
      <w:r>
        <w:t xml:space="preserve"> </w:t>
      </w:r>
      <w:r>
        <w:tab/>
        <w:t>Nat. Tr., p. 154; North. Tr., p. 193. Les churinga ont si bien une</w:t>
      </w:r>
      <w:r>
        <w:t xml:space="preserve"> marque collective qu'ils remplacent les bâtons de messagers dont sont munis, dans d'autres tribus, les individus envoyés à des groupes étrangers pour les convoquer à quelque cérémonie (Nat. Tr., pp. 141-142).</w:t>
      </w:r>
    </w:p>
  </w:footnote>
  <w:footnote w:id="122">
    <w:p w:rsidR="009A6BD2" w:rsidRDefault="003E2D0F">
      <w:pPr>
        <w:pStyle w:val="Testonotaapidipagina"/>
      </w:pPr>
      <w:r>
        <w:rPr>
          <w:rStyle w:val="Rimandonotaapidipagina"/>
        </w:rPr>
        <w:footnoteRef/>
      </w:r>
      <w:r>
        <w:t xml:space="preserve"> </w:t>
      </w:r>
      <w:r>
        <w:tab/>
        <w:t>Ibid., p. 326. Il y a lieu de remarquer que</w:t>
      </w:r>
      <w:r>
        <w:t xml:space="preserve"> les bull-roarers sont employés de la même manière (MATHEWS, Aboriginal Tribes of N. S. Wales and Victoria, in Journal of Roy. Soc. of N. S. Wales, XXXVIII, pp. 307-308).</w:t>
      </w:r>
    </w:p>
  </w:footnote>
  <w:footnote w:id="123">
    <w:p w:rsidR="009A6BD2" w:rsidRDefault="003E2D0F">
      <w:pPr>
        <w:pStyle w:val="Testonotaapidipagina"/>
      </w:pPr>
      <w:r>
        <w:rPr>
          <w:rStyle w:val="Rimandonotaapidipagina"/>
        </w:rPr>
        <w:footnoteRef/>
      </w:r>
      <w:r>
        <w:t xml:space="preserve"> </w:t>
      </w:r>
      <w:r>
        <w:tab/>
        <w:t>Nat. Tr., pp. 161, 250 et suiv.</w:t>
      </w:r>
    </w:p>
  </w:footnote>
  <w:footnote w:id="124">
    <w:p w:rsidR="009A6BD2" w:rsidRDefault="003E2D0F">
      <w:pPr>
        <w:pStyle w:val="Testonotaapidipagina"/>
      </w:pPr>
      <w:r>
        <w:rPr>
          <w:rStyle w:val="Rimandonotaapidipagina"/>
        </w:rPr>
        <w:footnoteRef/>
      </w:r>
      <w:r>
        <w:t xml:space="preserve"> </w:t>
      </w:r>
      <w:r>
        <w:tab/>
        <w:t>Ibid., p. 138.</w:t>
      </w:r>
    </w:p>
  </w:footnote>
  <w:footnote w:id="125">
    <w:p w:rsidR="009A6BD2" w:rsidRDefault="003E2D0F">
      <w:pPr>
        <w:pStyle w:val="Testonotaapidipagina"/>
      </w:pPr>
      <w:r>
        <w:rPr>
          <w:rStyle w:val="Rimandonotaapidipagina"/>
        </w:rPr>
        <w:footnoteRef/>
      </w:r>
      <w:r>
        <w:t xml:space="preserve"> </w:t>
      </w:r>
      <w:r>
        <w:tab/>
        <w:t>STREHLOW, I, Vorworet, in fin</w:t>
      </w:r>
      <w:r>
        <w:t>e; II, pp. 76, 77 et 82. Pour les Arunta, c'est le corps même de l'ancêtre; pour les Loritja, c'en est seulement une image.</w:t>
      </w:r>
    </w:p>
  </w:footnote>
  <w:footnote w:id="126">
    <w:p w:rsidR="009A6BD2" w:rsidRDefault="003E2D0F">
      <w:pPr>
        <w:pStyle w:val="Testonotaapidipagina"/>
      </w:pPr>
      <w:r>
        <w:rPr>
          <w:rStyle w:val="Rimandonotaapidipagina"/>
        </w:rPr>
        <w:footnoteRef/>
      </w:r>
      <w:r>
        <w:t xml:space="preserve"> </w:t>
      </w:r>
      <w:r>
        <w:tab/>
        <w:t>Quand un enfant vient de naître, la mère indique au père où elle croit que l'âme de l'ancêtre a pénétré en elle. Le père, accompa</w:t>
      </w:r>
      <w:r>
        <w:t xml:space="preserve">gné de quelques parents, se rend à cet endroit et l'on y cherche le churinga que l'ancêtre, croit-on, a laissé tomber au moment où il s'est réincarné. Si on l'y trouve, c'est, sans doute, que quelque ancien du groupe totémique l'y a placé (l'hypothèse est </w:t>
      </w:r>
      <w:r>
        <w:t>de Spencer et GILLEN). Si on ne le découvre pas, on fait un churinga nouveau suivant une technique déterminée (Nat. Tr., p. 132. Cf. STREHLOW, II, p. 80).</w:t>
      </w:r>
    </w:p>
  </w:footnote>
  <w:footnote w:id="127">
    <w:p w:rsidR="009A6BD2" w:rsidRDefault="003E2D0F">
      <w:pPr>
        <w:pStyle w:val="Testonotaapidipagina"/>
      </w:pPr>
      <w:r>
        <w:rPr>
          <w:rStyle w:val="Rimandonotaapidipagina"/>
        </w:rPr>
        <w:footnoteRef/>
      </w:r>
      <w:r>
        <w:t xml:space="preserve"> </w:t>
      </w:r>
      <w:r>
        <w:tab/>
        <w:t>C'est le cas des Warramunga, des Urabunna, des Worgaia, des Umbaia, des Tjingilli, des Grianji (No</w:t>
      </w:r>
      <w:r>
        <w:t>rth. Tr., p. 258, 275-276). Alors, disent SPENCER et GILLEN, they were regarded as of especial value because of their association with a totem (ibid., p. 276). Il y a des exemples du même fait chez les Arunta (Nat. Tr., p. 156).</w:t>
      </w:r>
    </w:p>
  </w:footnote>
  <w:footnote w:id="128">
    <w:p w:rsidR="009A6BD2" w:rsidRDefault="003E2D0F">
      <w:pPr>
        <w:pStyle w:val="Testonotaapidipagina"/>
      </w:pPr>
      <w:r>
        <w:rPr>
          <w:rStyle w:val="Rimandonotaapidipagina"/>
        </w:rPr>
        <w:footnoteRef/>
      </w:r>
      <w:r>
        <w:t xml:space="preserve"> </w:t>
      </w:r>
      <w:r>
        <w:tab/>
        <w:t xml:space="preserve">STREHLOW écrit tnatanja </w:t>
      </w:r>
      <w:r>
        <w:t>(op. cit., I, pp. 4-5.</w:t>
      </w:r>
    </w:p>
  </w:footnote>
  <w:footnote w:id="129">
    <w:p w:rsidR="009A6BD2" w:rsidRDefault="003E2D0F">
      <w:pPr>
        <w:pStyle w:val="Testonotaapidipagina"/>
      </w:pPr>
      <w:r>
        <w:rPr>
          <w:rStyle w:val="Rimandonotaapidipagina"/>
        </w:rPr>
        <w:footnoteRef/>
      </w:r>
      <w:r>
        <w:t xml:space="preserve"> </w:t>
      </w:r>
      <w:r>
        <w:tab/>
        <w:t>Les Kaitish, les Ilpirra, les Unmatjera; mais il est rare chez ces derniers.</w:t>
      </w:r>
    </w:p>
  </w:footnote>
  <w:footnote w:id="130">
    <w:p w:rsidR="009A6BD2" w:rsidRDefault="003E2D0F">
      <w:pPr>
        <w:pStyle w:val="Testonotaapidipagina"/>
      </w:pPr>
      <w:r>
        <w:rPr>
          <w:rStyle w:val="Rimandonotaapidipagina"/>
        </w:rPr>
        <w:footnoteRef/>
      </w:r>
      <w:r>
        <w:t xml:space="preserve"> </w:t>
      </w:r>
      <w:r>
        <w:tab/>
        <w:t>La perche est quelquefois remplacée par des churinga très longs, mis bout à bout.</w:t>
      </w:r>
    </w:p>
  </w:footnote>
  <w:footnote w:id="131">
    <w:p w:rsidR="009A6BD2" w:rsidRDefault="003E2D0F">
      <w:pPr>
        <w:pStyle w:val="Testonotaapidipagina"/>
      </w:pPr>
      <w:r>
        <w:rPr>
          <w:rStyle w:val="Rimandonotaapidipagina"/>
        </w:rPr>
        <w:footnoteRef/>
      </w:r>
      <w:r>
        <w:t xml:space="preserve"> </w:t>
      </w:r>
      <w:r>
        <w:tab/>
        <w:t>Parfois, au sommet du nurtunja, un autre plus petit est suspendu.</w:t>
      </w:r>
      <w:r>
        <w:t xml:space="preserve"> Dans d'autres cas, le nurtunja a la forme d'une croix ou d'un T. Plus rarement, le support central fait défaut (Nat. Tr., pp. 298-300, 360-364, 627).</w:t>
      </w:r>
    </w:p>
  </w:footnote>
  <w:footnote w:id="132">
    <w:p w:rsidR="009A6BD2" w:rsidRDefault="003E2D0F">
      <w:pPr>
        <w:pStyle w:val="Testonotaapidipagina"/>
      </w:pPr>
      <w:r>
        <w:rPr>
          <w:rStyle w:val="Rimandonotaapidipagina"/>
        </w:rPr>
        <w:footnoteRef/>
      </w:r>
      <w:r>
        <w:t xml:space="preserve"> </w:t>
      </w:r>
      <w:r>
        <w:tab/>
        <w:t>Quelquefois, ces barres transversales sont au nombre de trois.</w:t>
      </w:r>
    </w:p>
  </w:footnote>
  <w:footnote w:id="133">
    <w:p w:rsidR="009A6BD2" w:rsidRDefault="003E2D0F">
      <w:pPr>
        <w:pStyle w:val="Testonotaapidipagina"/>
      </w:pPr>
      <w:r>
        <w:rPr>
          <w:rStyle w:val="Rimandonotaapidipagina"/>
        </w:rPr>
        <w:footnoteRef/>
      </w:r>
      <w:r>
        <w:t xml:space="preserve"> </w:t>
      </w:r>
      <w:r>
        <w:tab/>
        <w:t>Nat. Tr., pp. 231-234, 306-310, 627.</w:t>
      </w:r>
      <w:r>
        <w:t xml:space="preserve"> Outre le nurtunja et le waninga, SPENCER et GILLEN distinguent une troisième sorte de poteau ou drapeau sacré, c'est le kauaua (Nat. Tr., p. 364,370,629) dont ils avouent franchement, d'ailleurs, n'avoir pu déterminer exactement les fonctions. Ils notent </w:t>
      </w:r>
      <w:r>
        <w:t>seulement que le kauaua « est regardé comme quelque chose de commun aux membres de tous les totems ». Mais suivant STREHLOW (III, p. 23, no 12), le kauaua dont parlent Spencer et GILLEN, serait simplement le nurtunja du totem du Chat sauvage. Comme cet ani</w:t>
      </w:r>
      <w:r>
        <w:t>mal est l'objet d'un culte tribal, on s'explique que la vénération dont est l'objet son nurtunja soit commune à tous les clans.</w:t>
      </w:r>
    </w:p>
  </w:footnote>
  <w:footnote w:id="134">
    <w:p w:rsidR="009A6BD2" w:rsidRDefault="003E2D0F">
      <w:pPr>
        <w:pStyle w:val="Testonotaapidipagina"/>
      </w:pPr>
      <w:r>
        <w:rPr>
          <w:rStyle w:val="Rimandonotaapidipagina"/>
        </w:rPr>
        <w:footnoteRef/>
      </w:r>
      <w:r>
        <w:t xml:space="preserve"> </w:t>
      </w:r>
      <w:r>
        <w:tab/>
        <w:t>North. Tr., p. 342; Nat. Tr., p. 309.</w:t>
      </w:r>
    </w:p>
  </w:footnote>
  <w:footnote w:id="135">
    <w:p w:rsidR="009A6BD2" w:rsidRDefault="003E2D0F">
      <w:pPr>
        <w:pStyle w:val="Testonotaapidipagina"/>
      </w:pPr>
      <w:r>
        <w:rPr>
          <w:rStyle w:val="Rimandonotaapidipagina"/>
        </w:rPr>
        <w:footnoteRef/>
      </w:r>
      <w:r>
        <w:t xml:space="preserve"> </w:t>
      </w:r>
      <w:r>
        <w:tab/>
        <w:t>Nat. Tr., p. 255.</w:t>
      </w:r>
    </w:p>
  </w:footnote>
  <w:footnote w:id="136">
    <w:p w:rsidR="009A6BD2" w:rsidRDefault="003E2D0F">
      <w:pPr>
        <w:pStyle w:val="Testonotaapidipagina"/>
      </w:pPr>
      <w:r>
        <w:rPr>
          <w:rStyle w:val="Rimandonotaapidipagina"/>
        </w:rPr>
        <w:footnoteRef/>
      </w:r>
      <w:r>
        <w:t xml:space="preserve"> </w:t>
      </w:r>
      <w:r>
        <w:tab/>
        <w:t>Ibid., chap. X et XI.</w:t>
      </w:r>
    </w:p>
  </w:footnote>
  <w:footnote w:id="137">
    <w:p w:rsidR="009A6BD2" w:rsidRDefault="003E2D0F">
      <w:pPr>
        <w:pStyle w:val="Testonotaapidipagina"/>
      </w:pPr>
      <w:r>
        <w:rPr>
          <w:rStyle w:val="Rimandonotaapidipagina"/>
        </w:rPr>
        <w:footnoteRef/>
      </w:r>
      <w:r>
        <w:t xml:space="preserve"> </w:t>
      </w:r>
      <w:r>
        <w:tab/>
        <w:t>Ibid., pp. 138, 144.</w:t>
      </w:r>
    </w:p>
  </w:footnote>
  <w:footnote w:id="138">
    <w:p w:rsidR="009A6BD2" w:rsidRDefault="003E2D0F">
      <w:pPr>
        <w:pStyle w:val="Testonotaapidipagina"/>
      </w:pPr>
      <w:r>
        <w:rPr>
          <w:rStyle w:val="Rimandonotaapidipagina"/>
        </w:rPr>
        <w:footnoteRef/>
      </w:r>
      <w:r>
        <w:t xml:space="preserve"> </w:t>
      </w:r>
      <w:r>
        <w:tab/>
        <w:t>V. DORSEY, Sio</w:t>
      </w:r>
      <w:r>
        <w:t>uan Cults, XIth Rep., p. 413; Omaha Sociology, IIIrd Rep., p. 234. Il est vrai qu'il n'y a qu'un poteau sacré pour la tribu tandis qu'il y a un nurtunja par clan. Mais le principe est le même.</w:t>
      </w:r>
    </w:p>
  </w:footnote>
  <w:footnote w:id="139">
    <w:p w:rsidR="009A6BD2" w:rsidRDefault="003E2D0F">
      <w:pPr>
        <w:pStyle w:val="Testonotaapidipagina"/>
      </w:pPr>
      <w:r>
        <w:rPr>
          <w:rStyle w:val="Rimandonotaapidipagina"/>
        </w:rPr>
        <w:footnoteRef/>
      </w:r>
      <w:r>
        <w:t xml:space="preserve"> </w:t>
      </w:r>
      <w:r>
        <w:tab/>
        <w:t>Nat. Tr., pp. 232, 308, 313, 334, etc. ; Notlh. Tr., pp. 182</w:t>
      </w:r>
      <w:r>
        <w:t>, 186, etc.</w:t>
      </w:r>
    </w:p>
  </w:footnote>
  <w:footnote w:id="140">
    <w:p w:rsidR="009A6BD2" w:rsidRDefault="003E2D0F">
      <w:pPr>
        <w:pStyle w:val="Testonotaapidipagina"/>
      </w:pPr>
      <w:r>
        <w:rPr>
          <w:rStyle w:val="Rimandonotaapidipagina"/>
        </w:rPr>
        <w:footnoteRef/>
      </w:r>
      <w:r>
        <w:t xml:space="preserve"> </w:t>
      </w:r>
      <w:r>
        <w:tab/>
        <w:t>Nat. Tr., p. 346. On dit, il est vrai, que le nurtunja représente la lance de l'ancêtre qui, au temps de l'Alcheringa, était à la tête de chaque clan. Mais il n'en est qu'une représentation symbolique ; ce n'est pas une sorte de relique, com</w:t>
      </w:r>
      <w:r>
        <w:t>me le churinga qui est censé émaner de l'ancêtre lui-même. ici, le caractère secondaire de l'interprétation est particulièrement apparent.</w:t>
      </w:r>
    </w:p>
  </w:footnote>
  <w:footnote w:id="141">
    <w:p w:rsidR="009A6BD2" w:rsidRDefault="003E2D0F">
      <w:pPr>
        <w:pStyle w:val="Testonotaapidipagina"/>
      </w:pPr>
      <w:r>
        <w:rPr>
          <w:rStyle w:val="Rimandonotaapidipagina"/>
        </w:rPr>
        <w:footnoteRef/>
      </w:r>
      <w:r>
        <w:t xml:space="preserve"> </w:t>
      </w:r>
      <w:r>
        <w:tab/>
        <w:t>Nat. Tr., p. 614 et suiv., notamment, p. 617; North. Tr., p. 749.</w:t>
      </w:r>
    </w:p>
  </w:footnote>
  <w:footnote w:id="142">
    <w:p w:rsidR="009A6BD2" w:rsidRDefault="003E2D0F">
      <w:pPr>
        <w:pStyle w:val="Testonotaapidipagina"/>
      </w:pPr>
      <w:r>
        <w:rPr>
          <w:rStyle w:val="Rimandonotaapidipagina"/>
        </w:rPr>
        <w:footnoteRef/>
      </w:r>
      <w:r>
        <w:t xml:space="preserve"> </w:t>
      </w:r>
      <w:r>
        <w:tab/>
        <w:t>Nat. Tr., p. 624.</w:t>
      </w:r>
    </w:p>
  </w:footnote>
  <w:footnote w:id="143">
    <w:p w:rsidR="009A6BD2" w:rsidRDefault="003E2D0F">
      <w:pPr>
        <w:pStyle w:val="Testonotaapidipagina"/>
      </w:pPr>
      <w:r>
        <w:rPr>
          <w:rStyle w:val="Rimandonotaapidipagina"/>
        </w:rPr>
        <w:footnoteRef/>
      </w:r>
      <w:r>
        <w:t xml:space="preserve"> </w:t>
      </w:r>
      <w:r>
        <w:tab/>
        <w:t>Ibid., p. 179.</w:t>
      </w:r>
    </w:p>
  </w:footnote>
  <w:footnote w:id="144">
    <w:p w:rsidR="009A6BD2" w:rsidRDefault="003E2D0F">
      <w:pPr>
        <w:pStyle w:val="Testonotaapidipagina"/>
      </w:pPr>
      <w:r>
        <w:rPr>
          <w:rStyle w:val="Rimandonotaapidipagina"/>
        </w:rPr>
        <w:footnoteRef/>
      </w:r>
      <w:r>
        <w:t xml:space="preserve"> </w:t>
      </w:r>
      <w:r>
        <w:tab/>
        <w:t>Nat. T</w:t>
      </w:r>
      <w:r>
        <w:t>r., p. 181.</w:t>
      </w:r>
    </w:p>
  </w:footnote>
  <w:footnote w:id="145">
    <w:p w:rsidR="009A6BD2" w:rsidRDefault="003E2D0F">
      <w:pPr>
        <w:pStyle w:val="Testonotaapidipagina"/>
      </w:pPr>
      <w:r>
        <w:rPr>
          <w:rStyle w:val="Rimandonotaapidipagina"/>
        </w:rPr>
        <w:footnoteRef/>
      </w:r>
      <w:r>
        <w:t xml:space="preserve"> </w:t>
      </w:r>
      <w:r>
        <w:tab/>
        <w:t>V. des exemples dans SPENCER et GILLEN, Nat. Tr., fig. 131. On y verra des dessins dont plusieurs ont évidemment pour objet de représenter des animaux, des plantes, des têtes d'homme, etc., très schématiquement bien entendu.</w:t>
      </w:r>
    </w:p>
  </w:footnote>
  <w:footnote w:id="146">
    <w:p w:rsidR="009A6BD2" w:rsidRDefault="003E2D0F">
      <w:pPr>
        <w:pStyle w:val="Testonotaapidipagina"/>
      </w:pPr>
      <w:r>
        <w:rPr>
          <w:rStyle w:val="Rimandonotaapidipagina"/>
        </w:rPr>
        <w:footnoteRef/>
      </w:r>
      <w:r>
        <w:t xml:space="preserve"> </w:t>
      </w:r>
      <w:r>
        <w:tab/>
        <w:t xml:space="preserve">Nat. Tr., p. </w:t>
      </w:r>
      <w:r>
        <w:t>617; North. Tr., p. 716 et suiv.</w:t>
      </w:r>
    </w:p>
  </w:footnote>
  <w:footnote w:id="147">
    <w:p w:rsidR="009A6BD2" w:rsidRDefault="003E2D0F">
      <w:pPr>
        <w:pStyle w:val="Testonotaapidipagina"/>
      </w:pPr>
      <w:r>
        <w:rPr>
          <w:rStyle w:val="Rimandonotaapidipagina"/>
        </w:rPr>
        <w:footnoteRef/>
      </w:r>
      <w:r>
        <w:t xml:space="preserve"> </w:t>
      </w:r>
      <w:r>
        <w:tab/>
        <w:t>Nat. Tr., p. 145; STREHLOW, Il, p. 80.</w:t>
      </w:r>
    </w:p>
  </w:footnote>
  <w:footnote w:id="148">
    <w:p w:rsidR="009A6BD2" w:rsidRDefault="003E2D0F">
      <w:pPr>
        <w:pStyle w:val="Testonotaapidipagina"/>
      </w:pPr>
      <w:r>
        <w:rPr>
          <w:rStyle w:val="Rimandonotaapidipagina"/>
        </w:rPr>
        <w:footnoteRef/>
      </w:r>
      <w:r>
        <w:t xml:space="preserve"> </w:t>
      </w:r>
      <w:r>
        <w:tab/>
        <w:t>Ibid., p. 151.</w:t>
      </w:r>
    </w:p>
  </w:footnote>
  <w:footnote w:id="149">
    <w:p w:rsidR="009A6BD2" w:rsidRDefault="003E2D0F">
      <w:pPr>
        <w:pStyle w:val="Testonotaapidipagina"/>
      </w:pPr>
      <w:r>
        <w:rPr>
          <w:rStyle w:val="Rimandonotaapidipagina"/>
        </w:rPr>
        <w:footnoteRef/>
      </w:r>
      <w:r>
        <w:t xml:space="preserve"> </w:t>
      </w:r>
      <w:r>
        <w:tab/>
        <w:t>Ibid., p. 346.</w:t>
      </w:r>
    </w:p>
  </w:footnote>
  <w:footnote w:id="150">
    <w:p w:rsidR="009A6BD2" w:rsidRDefault="003E2D0F">
      <w:pPr>
        <w:pStyle w:val="Testonotaapidipagina"/>
      </w:pPr>
      <w:r>
        <w:rPr>
          <w:rStyle w:val="Rimandonotaapidipagina"/>
        </w:rPr>
        <w:footnoteRef/>
      </w:r>
      <w:r>
        <w:t xml:space="preserve"> </w:t>
      </w:r>
      <w:r>
        <w:tab/>
        <w:t>Il n'est pas douteux, d'ailleurs, que ces dessins et ces peintures n'aient en même temps un caractère esthétique : c'est une première forme d'</w:t>
      </w:r>
      <w:r>
        <w:t>art. Puisque c'est aussi et même surtout un langage écrit, il s'ensuit que les origines du dessin et celles de l'écriture se confondent. Il paraît bien que l'homme a dû commencer à dessiner moins pour fixer sur le bois ou la pierre de belles formes qui cha</w:t>
      </w:r>
      <w:r>
        <w:t xml:space="preserve">rmaient ses sens, que pour traduire matériellement sa pensée (cf. SCHOOLCRAFT, Indian </w:t>
      </w:r>
      <w:r>
        <w:rPr>
          <w:i/>
          <w:iCs/>
        </w:rPr>
        <w:t xml:space="preserve">Tribes, I, </w:t>
      </w:r>
      <w:r>
        <w:t>p. 405 ; DORSEY, Siouan Cults, p. 394 et suiv.).</w:t>
      </w:r>
    </w:p>
  </w:footnote>
  <w:footnote w:id="151">
    <w:p w:rsidR="009A6BD2" w:rsidRDefault="003E2D0F">
      <w:pPr>
        <w:pStyle w:val="Testonotaapidipagina"/>
      </w:pPr>
      <w:r>
        <w:rPr>
          <w:rStyle w:val="Rimandonotaapidipagina"/>
        </w:rPr>
        <w:footnoteRef/>
      </w:r>
      <w:r>
        <w:t xml:space="preserve"> </w:t>
      </w:r>
      <w:r>
        <w:tab/>
        <w:t xml:space="preserve">V. des cas dans TAPLIN, The Narrinyeri, p. 63 ; HOWITT, Nat. Tr., p. 146, 769 ; FISON et HOWITT, Kamilaroi </w:t>
      </w:r>
      <w:r>
        <w:t>a. Kurnai, p. 169 ; ROTH, Superstition, Magie a. Medicine, § 150; WYATT, Adelaide a. Encounter Bay Tribe, in Woods, p. 168; MEYER, ibid., p. 186.</w:t>
      </w:r>
    </w:p>
  </w:footnote>
  <w:footnote w:id="152">
    <w:p w:rsidR="009A6BD2" w:rsidRDefault="003E2D0F">
      <w:pPr>
        <w:pStyle w:val="Testonotaapidipagina"/>
      </w:pPr>
      <w:r>
        <w:rPr>
          <w:rStyle w:val="Rimandonotaapidipagina"/>
        </w:rPr>
        <w:footnoteRef/>
      </w:r>
      <w:r>
        <w:t xml:space="preserve"> </w:t>
      </w:r>
      <w:r>
        <w:tab/>
        <w:t>C'est le cas chez les Warramunga (Nort. Tr., p. 168).</w:t>
      </w:r>
    </w:p>
  </w:footnote>
  <w:footnote w:id="153">
    <w:p w:rsidR="009A6BD2" w:rsidRDefault="003E2D0F">
      <w:pPr>
        <w:pStyle w:val="Testonotaapidipagina"/>
      </w:pPr>
      <w:r>
        <w:rPr>
          <w:rStyle w:val="Rimandonotaapidipagina"/>
        </w:rPr>
        <w:footnoteRef/>
      </w:r>
      <w:r>
        <w:t xml:space="preserve"> </w:t>
      </w:r>
      <w:r>
        <w:tab/>
        <w:t>Par exemple, chez les Warramunga, les Urabunna, le</w:t>
      </w:r>
      <w:r>
        <w:t>s Wonghibon, les Yuin, les Wotjobaluk, les Buandik, les Ngeumba, etc.</w:t>
      </w:r>
    </w:p>
  </w:footnote>
  <w:footnote w:id="154">
    <w:p w:rsidR="009A6BD2" w:rsidRDefault="003E2D0F">
      <w:pPr>
        <w:pStyle w:val="Testonotaapidipagina"/>
      </w:pPr>
      <w:r>
        <w:rPr>
          <w:rStyle w:val="Rimandonotaapidipagina"/>
        </w:rPr>
        <w:footnoteRef/>
      </w:r>
      <w:r>
        <w:t xml:space="preserve"> </w:t>
      </w:r>
      <w:r>
        <w:tab/>
        <w:t xml:space="preserve">Chez les Kaitish, si un homme du clan mange trop de son totem, les membres de l'autre phratrie ont recours à une manoeuvre magique qui est censée le tuer (Nort. Tr., m. 294. Cf. Nat. </w:t>
      </w:r>
      <w:r>
        <w:t>Tr., p. 1204; Langloh PARKER, The Euahlayi Tribe, p. 20).</w:t>
      </w:r>
    </w:p>
  </w:footnote>
  <w:footnote w:id="155">
    <w:p w:rsidR="009A6BD2" w:rsidRDefault="003E2D0F">
      <w:pPr>
        <w:pStyle w:val="Testonotaapidipagina"/>
      </w:pPr>
      <w:r>
        <w:rPr>
          <w:rStyle w:val="Rimandonotaapidipagina"/>
        </w:rPr>
        <w:footnoteRef/>
      </w:r>
      <w:r>
        <w:t xml:space="preserve"> </w:t>
      </w:r>
      <w:r>
        <w:tab/>
        <w:t>Nat. Tr., p. 202 et note; STREHLOW, Il, p. 58.</w:t>
      </w:r>
    </w:p>
  </w:footnote>
  <w:footnote w:id="156">
    <w:p w:rsidR="009A6BD2" w:rsidRDefault="003E2D0F">
      <w:pPr>
        <w:pStyle w:val="Testonotaapidipagina"/>
      </w:pPr>
      <w:r>
        <w:rPr>
          <w:rStyle w:val="Rimandonotaapidipagina"/>
        </w:rPr>
        <w:footnoteRef/>
      </w:r>
      <w:r>
        <w:t xml:space="preserve"> </w:t>
      </w:r>
      <w:r>
        <w:tab/>
        <w:t>North. Tr., p. 173.</w:t>
      </w:r>
    </w:p>
  </w:footnote>
  <w:footnote w:id="157">
    <w:p w:rsidR="009A6BD2" w:rsidRDefault="003E2D0F">
      <w:pPr>
        <w:pStyle w:val="Testonotaapidipagina"/>
      </w:pPr>
      <w:r>
        <w:rPr>
          <w:rStyle w:val="Rimandonotaapidipagina"/>
        </w:rPr>
        <w:footnoteRef/>
      </w:r>
      <w:r>
        <w:t xml:space="preserve"> </w:t>
      </w:r>
      <w:r>
        <w:tab/>
        <w:t>Nat. Tr., p. 207 et suiv.</w:t>
      </w:r>
    </w:p>
  </w:footnote>
  <w:footnote w:id="158">
    <w:p w:rsidR="009A6BD2" w:rsidRDefault="003E2D0F">
      <w:pPr>
        <w:pStyle w:val="Testonotaapidipagina"/>
      </w:pPr>
      <w:r>
        <w:rPr>
          <w:rStyle w:val="Rimandonotaapidipagina"/>
        </w:rPr>
        <w:footnoteRef/>
      </w:r>
      <w:r>
        <w:t xml:space="preserve"> </w:t>
      </w:r>
      <w:r>
        <w:tab/>
        <w:t>V. plus haut, p. 182.</w:t>
      </w:r>
    </w:p>
  </w:footnote>
  <w:footnote w:id="159">
    <w:p w:rsidR="009A6BD2" w:rsidRDefault="003E2D0F">
      <w:pPr>
        <w:pStyle w:val="Testonotaapidipagina"/>
      </w:pPr>
      <w:r>
        <w:rPr>
          <w:rStyle w:val="Rimandonotaapidipagina"/>
        </w:rPr>
        <w:footnoteRef/>
      </w:r>
      <w:r>
        <w:t xml:space="preserve"> </w:t>
      </w:r>
      <w:r>
        <w:tab/>
        <w:t xml:space="preserve">Encore faut-il tenir compte de ce fait que, dans les mythes, jamais </w:t>
      </w:r>
      <w:r>
        <w:t>les ancêtres ne nous sont représentés comme se nourrissant régulièrement de leur totem. Ce genre de consommation est, au contraire, l'exception. Leur alimentation normale, suivant Strehlow, était la même que celle de l'animal correspondant (v. STREHLOW, 1,</w:t>
      </w:r>
      <w:r>
        <w:t xml:space="preserve"> p. 4).</w:t>
      </w:r>
    </w:p>
  </w:footnote>
  <w:footnote w:id="160">
    <w:p w:rsidR="009A6BD2" w:rsidRDefault="003E2D0F">
      <w:pPr>
        <w:pStyle w:val="Testonotaapidipagina"/>
      </w:pPr>
      <w:r>
        <w:rPr>
          <w:rStyle w:val="Rimandonotaapidipagina"/>
        </w:rPr>
        <w:footnoteRef/>
      </w:r>
      <w:r>
        <w:t xml:space="preserve"> </w:t>
      </w:r>
      <w:r>
        <w:tab/>
        <w:t>Toute cette théorie, d'ailleurs, repose sur une hypothèse tout à fait arbitraire : Spencer et GILLEN, ainsi que Frazer, admettent que les tribus du centre australien, notamment les Arunta, représentent la forme la plus archaïque et, par conséque</w:t>
      </w:r>
      <w:r>
        <w:t>nt, la plus pure du totémisme. Nous dirons plus loin pourquoi cette conjecture nous paraît contraire à toutes les vraisemblances. il est même probable que ces auteurs n'auraient pas si facilement accepté la thèse qu'ils soutiennent s'ils ne s'étaient refus</w:t>
      </w:r>
      <w:r>
        <w:t>és à voir dans le totémisme une religion et si, par suite, ils n'avaient méconnu le caractère sacré du totem.</w:t>
      </w:r>
    </w:p>
  </w:footnote>
  <w:footnote w:id="161">
    <w:p w:rsidR="009A6BD2" w:rsidRDefault="003E2D0F">
      <w:pPr>
        <w:pStyle w:val="Testonotaapidipagina"/>
      </w:pPr>
      <w:r>
        <w:rPr>
          <w:rStyle w:val="Rimandonotaapidipagina"/>
        </w:rPr>
        <w:footnoteRef/>
      </w:r>
      <w:r>
        <w:t xml:space="preserve"> </w:t>
      </w:r>
      <w:r>
        <w:tab/>
        <w:t>TAPLIN, The Narrinyeri, p. 64; HOWITT, Nat. Tr., pp. 145 et 147; SPENCER et GILLEN. Nat. Tr., p. 202; GREY, loc. cit. ; CURE, Ill, p. 462.</w:t>
      </w:r>
    </w:p>
  </w:footnote>
  <w:footnote w:id="162">
    <w:p w:rsidR="009A6BD2" w:rsidRDefault="003E2D0F">
      <w:pPr>
        <w:pStyle w:val="Testonotaapidipagina"/>
      </w:pPr>
      <w:r>
        <w:rPr>
          <w:rStyle w:val="Rimandonotaapidipagina"/>
        </w:rPr>
        <w:footnoteRef/>
      </w:r>
      <w:r>
        <w:t xml:space="preserve"> </w:t>
      </w:r>
      <w:r>
        <w:tab/>
        <w:t>N</w:t>
      </w:r>
      <w:r>
        <w:t>orth. Tr., pp. 160, 167. Il ne suffit pas que l'intermédiaire soit d'un autre totem : c'est que, comme nous le verrons, un totem quelconque d'une phratrie est, dans une certaine mesure, interdit même aux autres membres de cette phratrie qui sont d'un totem</w:t>
      </w:r>
      <w:r>
        <w:t xml:space="preserve"> différent.</w:t>
      </w:r>
    </w:p>
  </w:footnote>
  <w:footnote w:id="163">
    <w:p w:rsidR="009A6BD2" w:rsidRDefault="003E2D0F">
      <w:pPr>
        <w:pStyle w:val="Testonotaapidipagina"/>
      </w:pPr>
      <w:r>
        <w:rPr>
          <w:rStyle w:val="Rimandonotaapidipagina"/>
        </w:rPr>
        <w:footnoteRef/>
      </w:r>
      <w:r>
        <w:t xml:space="preserve"> </w:t>
      </w:r>
      <w:r>
        <w:tab/>
        <w:t xml:space="preserve">North. Tr., p. 167. On peut mieux s'expliquer maintenant comment il se fait que, quand l'interdiction n'est pas observée, c'est l'autre phratrie qui poursuit la répression du sacrilège (v. plus haut, p. 182, no 4). C'est qu'elle est la plus </w:t>
      </w:r>
      <w:r>
        <w:t>intéressée à ce que la règle soit respectée. En effet, on croit que, quand cette règle est violée, l'espèce totémique risque de ne pas se reproduire abondamment. Or ce sont les membres de l'autre phratrie qui en sont les consommateurs réguliers; ce sont do</w:t>
      </w:r>
      <w:r>
        <w:t>nc eux qui sont atteints, Voilà pourquoi ils se vengent.</w:t>
      </w:r>
    </w:p>
  </w:footnote>
  <w:footnote w:id="164">
    <w:p w:rsidR="009A6BD2" w:rsidRDefault="003E2D0F">
      <w:pPr>
        <w:pStyle w:val="Testonotaapidipagina"/>
      </w:pPr>
      <w:r>
        <w:rPr>
          <w:rStyle w:val="Rimandonotaapidipagina"/>
        </w:rPr>
        <w:footnoteRef/>
      </w:r>
      <w:r>
        <w:t xml:space="preserve"> </w:t>
      </w:r>
      <w:r>
        <w:tab/>
        <w:t>C'est le cas chez les Loritja (STREHLOW, II, p. 60, 61), les Worgaia, les Warramunga, les Walpari, les Mara, les Anula, les Binbinga (North. Tr., pp. 166, 171, 173). On peut en manger chez les War</w:t>
      </w:r>
      <w:r>
        <w:t>ramunga, les Walpari, mais seulement si l'offre en est faite par un membre de l'autre phratrie. SPENCER et GILLEN font remarquer (p. 167, ri.) que, sous ce rapport, le totem paternel et le totem maternel sont soumis à une réglementation qui parait différen</w:t>
      </w:r>
      <w:r>
        <w:t>te. Sans doute, dans l'un et l'autre cas, l'offre doit venir de l'autre phratrie. Mais, quand il s'agit du totem du père ou totem proprement dit, cette phratrie est celle à laquelle le totem ne ressortit pas; c'est le contraire, quand il s'agit du totem de</w:t>
      </w:r>
      <w:r>
        <w:t xml:space="preserve"> la mère. C'est, sans doute, que le principe fut d'abord établi pour le premier, puis étendu mécaniquement au second, bien que la situation fùt différente. Une fois qu'eût été instituée la règle en vertu de laquelle on ne pouvait passer outre à l'interdict</w:t>
      </w:r>
      <w:r>
        <w:t>ion qui protège le totem que quand la proposition en était faite par quelqu'un de l'autre phratrie, on l'appliqua sans modifications au cas du totem maternel.</w:t>
      </w:r>
    </w:p>
  </w:footnote>
  <w:footnote w:id="165">
    <w:p w:rsidR="009A6BD2" w:rsidRDefault="003E2D0F">
      <w:pPr>
        <w:pStyle w:val="Testonotaapidipagina"/>
      </w:pPr>
      <w:r>
        <w:rPr>
          <w:rStyle w:val="Rimandonotaapidipagina"/>
        </w:rPr>
        <w:footnoteRef/>
      </w:r>
      <w:r>
        <w:t xml:space="preserve"> </w:t>
      </w:r>
      <w:r>
        <w:tab/>
        <w:t>Par exemple, chez les Warramunga (North. Tr., p. 166), chez les Wotjobaluk, les Buandik, les K</w:t>
      </w:r>
      <w:r>
        <w:t>urnai (HOWITT, P. 146-147), les Narrinyeri (TAPLIN, Narrinyeri, p. 63).</w:t>
      </w:r>
    </w:p>
  </w:footnote>
  <w:footnote w:id="166">
    <w:p w:rsidR="009A6BD2" w:rsidRDefault="003E2D0F">
      <w:pPr>
        <w:pStyle w:val="Testonotaapidipagina"/>
      </w:pPr>
      <w:r>
        <w:rPr>
          <w:rStyle w:val="Rimandonotaapidipagina"/>
        </w:rPr>
        <w:footnoteRef/>
      </w:r>
      <w:r>
        <w:t xml:space="preserve"> </w:t>
      </w:r>
      <w:r>
        <w:tab/>
        <w:t>Et encore n'est-ce pas dans tous les cas. L'Arunta du totem des Moustiques ne doit pas tuer cet insecte, même quand il en est incommodé; il doit se borner à le chasser (STREHLOW, II</w:t>
      </w:r>
      <w:r>
        <w:t>, p. 58. Cf. TAPLIN, p. 63).</w:t>
      </w:r>
    </w:p>
  </w:footnote>
  <w:footnote w:id="167">
    <w:p w:rsidR="009A6BD2" w:rsidRDefault="003E2D0F">
      <w:pPr>
        <w:pStyle w:val="Testonotaapidipagina"/>
      </w:pPr>
      <w:r>
        <w:rPr>
          <w:rStyle w:val="Rimandonotaapidipagina"/>
        </w:rPr>
        <w:footnoteRef/>
      </w:r>
      <w:r>
        <w:t xml:space="preserve"> </w:t>
      </w:r>
      <w:r>
        <w:tab/>
        <w:t>Chez les Kaitish, les Unmatjera (Nort. TC., p. 160). Il arrive même que, dans certains cas, un ancien donne à un jeune homme d'un totem différent un de ses churinga pour permettre au jeune chasseur de tuer plus facilement l'</w:t>
      </w:r>
      <w:r>
        <w:t>animal qui sert de totem au donateur (ibid., p. 272).</w:t>
      </w:r>
    </w:p>
  </w:footnote>
  <w:footnote w:id="168">
    <w:p w:rsidR="009A6BD2" w:rsidRDefault="003E2D0F">
      <w:pPr>
        <w:pStyle w:val="Testonotaapidipagina"/>
      </w:pPr>
      <w:r>
        <w:rPr>
          <w:rStyle w:val="Rimandonotaapidipagina"/>
        </w:rPr>
        <w:footnoteRef/>
      </w:r>
      <w:r>
        <w:t xml:space="preserve"> </w:t>
      </w:r>
      <w:r>
        <w:tab/>
        <w:t>HOWITT, Nat. TC., p. 146; GREY, Op. cit., II, p. 228; CASALIS, Basoulos, p. 221. Chez ces derniers, « il faut se purifier après avoir commis un tel sacrilège ».</w:t>
      </w:r>
    </w:p>
  </w:footnote>
  <w:footnote w:id="169">
    <w:p w:rsidR="009A6BD2" w:rsidRDefault="003E2D0F">
      <w:pPr>
        <w:pStyle w:val="Testonotaapidipagina"/>
      </w:pPr>
      <w:r>
        <w:rPr>
          <w:rStyle w:val="Rimandonotaapidipagina"/>
        </w:rPr>
        <w:footnoteRef/>
      </w:r>
      <w:r>
        <w:t xml:space="preserve"> </w:t>
      </w:r>
      <w:r>
        <w:tab/>
        <w:t>STREHLOW, II, pp. 58, 59, 61.</w:t>
      </w:r>
    </w:p>
  </w:footnote>
  <w:footnote w:id="170">
    <w:p w:rsidR="009A6BD2" w:rsidRDefault="003E2D0F">
      <w:pPr>
        <w:pStyle w:val="Testonotaapidipagina"/>
      </w:pPr>
      <w:r>
        <w:rPr>
          <w:rStyle w:val="Rimandonotaapidipagina"/>
        </w:rPr>
        <w:footnoteRef/>
      </w:r>
      <w:r>
        <w:t xml:space="preserve"> </w:t>
      </w:r>
      <w:r>
        <w:tab/>
        <w:t>DO</w:t>
      </w:r>
      <w:r>
        <w:t>RSEY, Omaha Sociology, IIIrd Rep., pp. 225, 231.</w:t>
      </w:r>
    </w:p>
  </w:footnote>
  <w:footnote w:id="171">
    <w:p w:rsidR="009A6BD2" w:rsidRDefault="003E2D0F">
      <w:pPr>
        <w:pStyle w:val="Testonotaapidipagina"/>
      </w:pPr>
      <w:r>
        <w:rPr>
          <w:rStyle w:val="Rimandonotaapidipagina"/>
        </w:rPr>
        <w:footnoteRef/>
      </w:r>
      <w:r>
        <w:t xml:space="preserve"> </w:t>
      </w:r>
      <w:r>
        <w:tab/>
        <w:t>CASALIS, ibid.</w:t>
      </w:r>
    </w:p>
  </w:footnote>
  <w:footnote w:id="172">
    <w:p w:rsidR="009A6BD2" w:rsidRDefault="003E2D0F">
      <w:pPr>
        <w:pStyle w:val="Testonotaapidipagina"/>
      </w:pPr>
      <w:r>
        <w:rPr>
          <w:rStyle w:val="Rimandonotaapidipagina"/>
        </w:rPr>
        <w:footnoteRef/>
      </w:r>
      <w:r>
        <w:t xml:space="preserve"> </w:t>
      </w:r>
      <w:r>
        <w:tab/>
        <w:t>Même chez les Omaha, il n'est pas sûr que les interdictions de contact dont nous venons de rapporter quelques exemples soient de nature proprement totémique ; car plusieurs d'entre elles</w:t>
      </w:r>
      <w:r>
        <w:t xml:space="preserve"> n'ont pas de rapports directs avec l'animal qui sert de totem au clan. Ainsi, dans un sous-clan de l'Aigle, l'interdiction caractéristique consiste à ne pouvoir toucher une tête de buffle (DORSEY, op. cit., p. 239) ; dans un autre sous-clan qui a le même </w:t>
      </w:r>
      <w:r>
        <w:t>totem, on ne peut toucher le vert-de-gris, le charbon de bois, etc. (ibid., p. 245).</w:t>
      </w:r>
    </w:p>
    <w:p w:rsidR="009A6BD2" w:rsidRDefault="003E2D0F">
      <w:pPr>
        <w:pStyle w:val="Testonotaapidipagina"/>
      </w:pPr>
      <w:r>
        <w:tab/>
      </w:r>
      <w:r>
        <w:tab/>
        <w:t>Nous ne parlons pas d'autres interdictions que mentionne Frazer, comme celles de nommer ou de regarder un animal ou une plante, car il est encore moins sûr qu'elles soie</w:t>
      </w:r>
      <w:r>
        <w:t xml:space="preserve">nt d'origine totémique, sauf peut-être pour ce qui concerne certains faits observés chez les Bechuana (Totemism, pp. 12-13). Frazer admettait trop facilement alors - et il a eu, sur ce point, des imitateurs - que toute interdiction de manger ou de toucher </w:t>
      </w:r>
      <w:r>
        <w:t>un animal dépend nécessairement de croyances totémiques. Il y a, cependant, un cas en Australie, où la vue du totem paraît prohibée. D'après STREHLOW (II, p. 59), chez les Arunta et les Loritja, un homme qui a pour totem la lune ne doit pas la regarder lon</w:t>
      </w:r>
      <w:r>
        <w:t>gtemps ; autrement, il s'exposerait à mourir de la main d'un ennemi. Mais c'est, croyons-nous, un cas unique. Il ne faut pas perdre de vue, d'ailleurs, que les totems astronomiques ne sont vraisemblablement pas primitifs en Australie ; cette prohibition po</w:t>
      </w:r>
      <w:r>
        <w:t>urrait donc être le produit d'une élaboration complexe. Ce qui confirme cette hypothèse, c'est que, chez les Euahlayi, l'interdiction de regarder la lune s'applique à toutes les mères et à tous les enfants, quels que soient leurs totems (L. PARKER, The Eua</w:t>
      </w:r>
      <w:r>
        <w:t>hlayi, p. 53).</w:t>
      </w:r>
    </w:p>
  </w:footnote>
  <w:footnote w:id="173">
    <w:p w:rsidR="009A6BD2" w:rsidRDefault="003E2D0F">
      <w:pPr>
        <w:pStyle w:val="Testonotaapidipagina"/>
      </w:pPr>
      <w:r>
        <w:rPr>
          <w:rStyle w:val="Rimandonotaapidipagina"/>
        </w:rPr>
        <w:footnoteRef/>
      </w:r>
      <w:r>
        <w:t xml:space="preserve"> </w:t>
      </w:r>
      <w:r>
        <w:tab/>
        <w:t>V. liv. II, chap. II, § II.</w:t>
      </w:r>
    </w:p>
  </w:footnote>
  <w:footnote w:id="174">
    <w:p w:rsidR="009A6BD2" w:rsidRDefault="003E2D0F">
      <w:pPr>
        <w:pStyle w:val="Testonotaapidipagina"/>
      </w:pPr>
      <w:r>
        <w:rPr>
          <w:rStyle w:val="Rimandonotaapidipagina"/>
        </w:rPr>
        <w:footnoteRef/>
      </w:r>
      <w:r>
        <w:t xml:space="preserve"> </w:t>
      </w:r>
      <w:r>
        <w:tab/>
        <w:t>Il n'y a peut-être pas de religion qui fasse de l'homme un être exclusivement profane. Pour le chrétien, l'âme que chacun de nous porte en soi, et qui constitue l'essence même de notre personnalité, a quelqu</w:t>
      </w:r>
      <w:r>
        <w:t>e chose de sacré. Nous verrons que cette conception de l'âme est aussi vieille que la pensée religieuse. Mais la place de l'homme dans la hiérarchie des choses sacrées est plus ou moins élevée.</w:t>
      </w:r>
    </w:p>
  </w:footnote>
  <w:footnote w:id="175">
    <w:p w:rsidR="009A6BD2" w:rsidRDefault="003E2D0F">
      <w:pPr>
        <w:pStyle w:val="Testonotaapidipagina"/>
      </w:pPr>
      <w:r>
        <w:rPr>
          <w:rStyle w:val="Rimandonotaapidipagina"/>
        </w:rPr>
        <w:footnoteRef/>
      </w:r>
      <w:r>
        <w:t xml:space="preserve"> </w:t>
      </w:r>
      <w:r>
        <w:tab/>
        <w:t>Nat. Tr., p. 202.</w:t>
      </w:r>
    </w:p>
  </w:footnote>
  <w:footnote w:id="176">
    <w:p w:rsidR="009A6BD2" w:rsidRDefault="003E2D0F">
      <w:pPr>
        <w:pStyle w:val="Testonotaapidipagina"/>
      </w:pPr>
      <w:r>
        <w:rPr>
          <w:rStyle w:val="Rimandonotaapidipagina"/>
        </w:rPr>
        <w:footnoteRef/>
      </w:r>
      <w:r>
        <w:t xml:space="preserve"> </w:t>
      </w:r>
      <w:r>
        <w:tab/>
        <w:t>TAPLIN, The Narrinyeri, pp. 59-61.</w:t>
      </w:r>
    </w:p>
  </w:footnote>
  <w:footnote w:id="177">
    <w:p w:rsidR="009A6BD2" w:rsidRDefault="003E2D0F">
      <w:pPr>
        <w:pStyle w:val="Testonotaapidipagina"/>
      </w:pPr>
      <w:r>
        <w:rPr>
          <w:rStyle w:val="Rimandonotaapidipagina"/>
        </w:rPr>
        <w:footnoteRef/>
      </w:r>
      <w:r>
        <w:t xml:space="preserve"> </w:t>
      </w:r>
      <w:r>
        <w:tab/>
      </w:r>
      <w:r>
        <w:t>Chez certains clans Warramunga par exemple (North. Tr., p. 162).</w:t>
      </w:r>
    </w:p>
  </w:footnote>
  <w:footnote w:id="178">
    <w:p w:rsidR="009A6BD2" w:rsidRDefault="003E2D0F">
      <w:pPr>
        <w:pStyle w:val="Testonotaapidipagina"/>
      </w:pPr>
      <w:r>
        <w:rPr>
          <w:rStyle w:val="Rimandonotaapidipagina"/>
        </w:rPr>
        <w:footnoteRef/>
      </w:r>
      <w:r>
        <w:t xml:space="preserve"> </w:t>
      </w:r>
      <w:r>
        <w:tab/>
        <w:t>Chez les Urabunna (North. Tr., p. 147). Même quand on nous dit de ces premiers êtres que ce sont des hommes, en réalité, ils ne sont que semi-humains et participent, en même temps, de la n</w:t>
      </w:r>
      <w:r>
        <w:t xml:space="preserve">ature animale. C'est le cas de certains Unmatjera (Ibid., p. 153-154). Il y a là des manières de penser dont la confusion nous déconcerte, mais qu'il faut accepter telles quelles. Ce serait les dénaturer que de chercher à y introduire une netteté qui leur </w:t>
      </w:r>
      <w:r>
        <w:t>est étrangère (cf. Nat. Tr., p. 119).</w:t>
      </w:r>
    </w:p>
  </w:footnote>
  <w:footnote w:id="179">
    <w:p w:rsidR="009A6BD2" w:rsidRDefault="003E2D0F">
      <w:pPr>
        <w:pStyle w:val="Testonotaapidipagina"/>
      </w:pPr>
      <w:r>
        <w:rPr>
          <w:rStyle w:val="Rimandonotaapidipagina"/>
        </w:rPr>
        <w:footnoteRef/>
      </w:r>
      <w:r>
        <w:t xml:space="preserve"> </w:t>
      </w:r>
      <w:r>
        <w:tab/>
        <w:t>Chez certains Arunta (Nat. Tr., p. 388 et suiv.) ; chez certains Unmatjora (Nort. Tr., p. 153).</w:t>
      </w:r>
    </w:p>
  </w:footnote>
  <w:footnote w:id="180">
    <w:p w:rsidR="009A6BD2" w:rsidRDefault="003E2D0F">
      <w:pPr>
        <w:pStyle w:val="Testonotaapidipagina"/>
      </w:pPr>
      <w:r>
        <w:rPr>
          <w:rStyle w:val="Rimandonotaapidipagina"/>
        </w:rPr>
        <w:footnoteRef/>
      </w:r>
      <w:r>
        <w:t xml:space="preserve"> </w:t>
      </w:r>
      <w:r>
        <w:tab/>
        <w:t>Nat. Tr., p. 389. Cf. STREHLOW, I, pp. 2-7.</w:t>
      </w:r>
    </w:p>
  </w:footnote>
  <w:footnote w:id="181">
    <w:p w:rsidR="009A6BD2" w:rsidRDefault="003E2D0F">
      <w:pPr>
        <w:pStyle w:val="Testonotaapidipagina"/>
      </w:pPr>
      <w:r>
        <w:rPr>
          <w:rStyle w:val="Rimandonotaapidipagina"/>
        </w:rPr>
        <w:footnoteRef/>
      </w:r>
      <w:r>
        <w:t xml:space="preserve"> </w:t>
      </w:r>
      <w:r>
        <w:tab/>
        <w:t>Nat. Tr., p. 389 ; STREHLOW, I, p. 2 et suiv. Il y a, sans doute, dan</w:t>
      </w:r>
      <w:r>
        <w:t xml:space="preserve">s ce thème mythique, un écho des rites d'initiation. L'initiation, elle aussi, a pour objet de faire du jeune homme un homme complet et, d'autre part, elle implique également de véritables opérations chirurgicales (circoncision, subincision, extraction de </w:t>
      </w:r>
      <w:r>
        <w:t>dents, etc.). On devait naturellement concevoir sur le même modèle les procédés qui servirent à former les premiers hommes.</w:t>
      </w:r>
    </w:p>
  </w:footnote>
  <w:footnote w:id="182">
    <w:p w:rsidR="009A6BD2" w:rsidRDefault="003E2D0F">
      <w:pPr>
        <w:pStyle w:val="Testonotaapidipagina"/>
      </w:pPr>
      <w:r>
        <w:rPr>
          <w:rStyle w:val="Rimandonotaapidipagina"/>
        </w:rPr>
        <w:footnoteRef/>
      </w:r>
      <w:r>
        <w:t xml:space="preserve"> </w:t>
      </w:r>
      <w:r>
        <w:tab/>
        <w:t>C'est le cas des neuf clans des Moqui (SCHOOLGRAFT, Indian Tribes, IV, p. 86), du clan de la Grue chez les Ojibway (MORGAN, Ancie</w:t>
      </w:r>
      <w:r>
        <w:t>nt Society, p. 180), des clans des Nootka (BOAS, VIth Rep. on the N. W. Tribes of Canada, p. 43), etc.</w:t>
      </w:r>
    </w:p>
  </w:footnote>
  <w:footnote w:id="183">
    <w:p w:rsidR="009A6BD2" w:rsidRDefault="003E2D0F">
      <w:pPr>
        <w:pStyle w:val="Testonotaapidipagina"/>
      </w:pPr>
      <w:r>
        <w:rPr>
          <w:rStyle w:val="Rimandonotaapidipagina"/>
        </w:rPr>
        <w:footnoteRef/>
      </w:r>
      <w:r>
        <w:t xml:space="preserve"> </w:t>
      </w:r>
      <w:r>
        <w:tab/>
        <w:t xml:space="preserve">C'est ainsi que se serait formé le clan de la Tortue chez les Iroquois. Un groupe de tortues aurait été obligé de quitter le lac où elles vivaient et </w:t>
      </w:r>
      <w:r>
        <w:t>de chercher un autre habitat. Une d'elles, plus grosse que les autres, supportait avec peine cet exercice à cause de la chaleur. Elle fit des efforts si violents qu'elle sortit de sa carapace. Le processus de transformation, une fois commencé, se poursuivi</w:t>
      </w:r>
      <w:r>
        <w:t>t de lui-même et la tortue devint un homme qui fut l'ancêtre du clan (Erminnie A. SMITH, The Myths of the Iroquois, IId Rep., p. 77). Le clan de l'Écrevisse chez les Choctaw se serait formé d'une manière analogue. Des hommes auraient surpris un certain nom</w:t>
      </w:r>
      <w:r>
        <w:t>bre d'écrevisses qui vivaient dans leur voisinage, les auraient amenées au milieu d'eux, leur auraient appris à parler, à marcher, et finalement les auraient adoptées dans leur société (CATLIN, North American Indians, II, p. 128).</w:t>
      </w:r>
    </w:p>
  </w:footnote>
  <w:footnote w:id="184">
    <w:p w:rsidR="009A6BD2" w:rsidRDefault="003E2D0F">
      <w:pPr>
        <w:pStyle w:val="Testonotaapidipagina"/>
      </w:pPr>
      <w:r>
        <w:rPr>
          <w:rStyle w:val="Rimandonotaapidipagina"/>
        </w:rPr>
        <w:footnoteRef/>
      </w:r>
      <w:r>
        <w:t xml:space="preserve"> </w:t>
      </w:r>
      <w:r>
        <w:tab/>
        <w:t>Voici, par exemple, un</w:t>
      </w:r>
      <w:r>
        <w:t>e légende de Tsimshian. Au cours d'une chasse, un Indien rencontra un ours noir qui l'emmena chez lui, lui apprit à attraper le saumon et à construire les canots. Pendant deux années, l'homme resta avec l'ours; après quoi il retourna à son village natal. M</w:t>
      </w:r>
      <w:r>
        <w:t>ais les gens eurent peur de lui parce qu'il ressemblait à un ours. Il ne pouvait ni parler, ni manger autre chose que des aliments crus. Alors on le frotta avec des herbes magiques et il reprit graduellement sa forme première. Dans la suite, quand il était</w:t>
      </w:r>
      <w:r>
        <w:t xml:space="preserve"> dans le besoin, il appelait à lui ses amis les ours qui venaient l'aider. Il construisit une maison et peignit sur le fronton un ours. Sa sœur fit, pour la danse, une couverture sur laquelle un ours était dessiné. C'est pourquoi les descendants de cette s</w:t>
      </w:r>
      <w:r>
        <w:t>oeur avaient l'ours pour emblème (BOAS, Kwakiutl, p. 323. Cf. Vth Report on the N. W. Tribes of Canada, p. 23,129 et suiv. ; Hill TOUT, Report on the Ethnology of the Statlumh of British Columbia, in J.A.I., 1905, XXXV, p. 150).</w:t>
      </w:r>
    </w:p>
    <w:p w:rsidR="009A6BD2" w:rsidRDefault="003E2D0F">
      <w:pPr>
        <w:pStyle w:val="Testonotaapidipagina"/>
        <w:ind w:firstLine="346"/>
      </w:pPr>
      <w:r>
        <w:t>On voit par là l'inconvénie</w:t>
      </w:r>
      <w:r>
        <w:t xml:space="preserve">nt qu'il y a à faire de cette parenté mystique entre l'homme et l'animal le caractère distinctif du totémisme, comme le propose M. Van GENNEP (Totémisme et méthode comparative, in </w:t>
      </w:r>
      <w:r>
        <w:rPr>
          <w:i/>
          <w:iCs/>
        </w:rPr>
        <w:t xml:space="preserve">Revue de l'histoire des religions, </w:t>
      </w:r>
      <w:r>
        <w:t xml:space="preserve">tome LVIII, 1908, juillet, p. 55). Cette </w:t>
      </w:r>
      <w:r>
        <w:t xml:space="preserve">parenté est une expression mythique de faits autrement profonds ; elle peut manquer sans que les traits essentiels du totémisme disparaissent. Sans doute, il y a toujours entre les gens du clan et l'animal totémique des liens étroits, mais qui ne sont pas </w:t>
      </w:r>
      <w:r>
        <w:t>nécessairement de consanguinité, bien qu'ils soient le plus généralement conçus sous cette dernière forme.</w:t>
      </w:r>
    </w:p>
  </w:footnote>
  <w:footnote w:id="185">
    <w:p w:rsidR="009A6BD2" w:rsidRDefault="003E2D0F">
      <w:pPr>
        <w:pStyle w:val="Testonotaapidipagina"/>
      </w:pPr>
      <w:r>
        <w:rPr>
          <w:rStyle w:val="Rimandonotaapidipagina"/>
        </w:rPr>
        <w:footnoteRef/>
      </w:r>
      <w:r>
        <w:t xml:space="preserve"> </w:t>
      </w:r>
      <w:r>
        <w:tab/>
        <w:t>Il y a, d'ailleurs, des mythes Tlinkit où le rapport de descendance entre l'homme et l'animal est plus particulièrement affirmé. On dit que le cla</w:t>
      </w:r>
      <w:r>
        <w:t xml:space="preserve">n est issu d'une union mixte, si l'on peut ainsi parler, c'està-dire où soit l'homme, soit la femme était une bête de l'espèce dont le clan porte le nom (V. SWANTON, Social Condition, Beliefs, etc., of the Tlingit Indians, XXVIth </w:t>
      </w:r>
      <w:r>
        <w:rPr>
          <w:i/>
          <w:iCs/>
        </w:rPr>
        <w:t>Rep., pp. 415-418).</w:t>
      </w:r>
    </w:p>
  </w:footnote>
  <w:footnote w:id="186">
    <w:p w:rsidR="009A6BD2" w:rsidRDefault="003E2D0F">
      <w:pPr>
        <w:pStyle w:val="Testonotaapidipagina"/>
      </w:pPr>
      <w:r>
        <w:rPr>
          <w:rStyle w:val="Rimandonotaapidipagina"/>
        </w:rPr>
        <w:footnoteRef/>
      </w:r>
      <w:r>
        <w:t xml:space="preserve"> </w:t>
      </w:r>
      <w:r>
        <w:tab/>
        <w:t>Nat</w:t>
      </w:r>
      <w:r>
        <w:t>. Tr., p. 284.</w:t>
      </w:r>
    </w:p>
  </w:footnote>
  <w:footnote w:id="187">
    <w:p w:rsidR="009A6BD2" w:rsidRDefault="003E2D0F">
      <w:pPr>
        <w:pStyle w:val="Testonotaapidipagina"/>
      </w:pPr>
      <w:r>
        <w:rPr>
          <w:rStyle w:val="Rimandonotaapidipagina"/>
        </w:rPr>
        <w:footnoteRef/>
      </w:r>
      <w:r>
        <w:t xml:space="preserve"> </w:t>
      </w:r>
      <w:r>
        <w:tab/>
        <w:t>Ibid., p. 179.</w:t>
      </w:r>
    </w:p>
  </w:footnote>
  <w:footnote w:id="188">
    <w:p w:rsidR="009A6BD2" w:rsidRDefault="003E2D0F">
      <w:pPr>
        <w:pStyle w:val="Testonotaapidipagina"/>
      </w:pPr>
      <w:r>
        <w:rPr>
          <w:rStyle w:val="Rimandonotaapidipagina"/>
        </w:rPr>
        <w:footnoteRef/>
      </w:r>
      <w:r>
        <w:t xml:space="preserve"> </w:t>
      </w:r>
      <w:r>
        <w:tab/>
        <w:t>V. liv. III, chap. Il. Cf. SPENCER et GILLEN, Nat. Tr., pp. 184,201.</w:t>
      </w:r>
    </w:p>
  </w:footnote>
  <w:footnote w:id="189">
    <w:p w:rsidR="009A6BD2" w:rsidRDefault="003E2D0F">
      <w:pPr>
        <w:pStyle w:val="Testonotaapidipagina"/>
      </w:pPr>
      <w:r>
        <w:rPr>
          <w:rStyle w:val="Rimandonotaapidipagina"/>
        </w:rPr>
        <w:footnoteRef/>
      </w:r>
      <w:r>
        <w:t xml:space="preserve"> </w:t>
      </w:r>
      <w:r>
        <w:tab/>
        <w:t>Nat. Tr., pp. 204, 284, 262.</w:t>
      </w:r>
    </w:p>
  </w:footnote>
  <w:footnote w:id="190">
    <w:p w:rsidR="009A6BD2" w:rsidRDefault="003E2D0F">
      <w:pPr>
        <w:pStyle w:val="Testonotaapidipagina"/>
      </w:pPr>
      <w:r>
        <w:rPr>
          <w:rStyle w:val="Rimandonotaapidipagina"/>
        </w:rPr>
        <w:footnoteRef/>
      </w:r>
      <w:r>
        <w:t xml:space="preserve"> </w:t>
      </w:r>
      <w:r>
        <w:tab/>
        <w:t>Chez les Dieri, les Parnkalla. V. HOWITT, Nat. Tr., pp. 658, 661, 668, 669-671.</w:t>
      </w:r>
    </w:p>
  </w:footnote>
  <w:footnote w:id="191">
    <w:p w:rsidR="009A6BD2" w:rsidRDefault="003E2D0F">
      <w:pPr>
        <w:pStyle w:val="Testonotaapidipagina"/>
      </w:pPr>
      <w:r>
        <w:rPr>
          <w:rStyle w:val="Rimandonotaapidipagina"/>
        </w:rPr>
        <w:footnoteRef/>
      </w:r>
      <w:r>
        <w:t xml:space="preserve"> </w:t>
      </w:r>
      <w:r>
        <w:tab/>
        <w:t>Chez les Warramunga, le sang de l</w:t>
      </w:r>
      <w:r>
        <w:t>a circoncision est bu par la mère (North. Tr., p. 352). Chez les Binbinga, le sang dont est souillé le couteau qui a servi à la subincision doit être sucé par l'initié (ibid., p. 368). D'une manière générale, le sang qui provient des parties génitales pass</w:t>
      </w:r>
      <w:r>
        <w:t>e pour exceptionnellement sacré (Nat. Tr., p. 464; North. Tr., p. 598).</w:t>
      </w:r>
    </w:p>
  </w:footnote>
  <w:footnote w:id="192">
    <w:p w:rsidR="009A6BD2" w:rsidRDefault="003E2D0F">
      <w:pPr>
        <w:pStyle w:val="Testonotaapidipagina"/>
      </w:pPr>
      <w:r>
        <w:rPr>
          <w:rStyle w:val="Rimandonotaapidipagina"/>
        </w:rPr>
        <w:footnoteRef/>
      </w:r>
      <w:r>
        <w:t xml:space="preserve"> </w:t>
      </w:r>
      <w:r>
        <w:tab/>
        <w:t>Nat. Tr., p. 268.</w:t>
      </w:r>
    </w:p>
  </w:footnote>
  <w:footnote w:id="193">
    <w:p w:rsidR="009A6BD2" w:rsidRDefault="003E2D0F">
      <w:pPr>
        <w:pStyle w:val="Testonotaapidipagina"/>
      </w:pPr>
      <w:r>
        <w:rPr>
          <w:rStyle w:val="Rimandonotaapidipagina"/>
        </w:rPr>
        <w:footnoteRef/>
      </w:r>
      <w:r>
        <w:t xml:space="preserve"> </w:t>
      </w:r>
      <w:r>
        <w:tab/>
        <w:t>Ibid., pp. 144, 568.</w:t>
      </w:r>
    </w:p>
  </w:footnote>
  <w:footnote w:id="194">
    <w:p w:rsidR="009A6BD2" w:rsidRDefault="003E2D0F">
      <w:pPr>
        <w:pStyle w:val="Testonotaapidipagina"/>
      </w:pPr>
      <w:r>
        <w:rPr>
          <w:rStyle w:val="Rimandonotaapidipagina"/>
        </w:rPr>
        <w:footnoteRef/>
      </w:r>
      <w:r>
        <w:t xml:space="preserve"> </w:t>
      </w:r>
      <w:r>
        <w:tab/>
        <w:t>Nat. Tr., pp. 442, 464. Le mythe est, d'ailleurs, général en Australie.</w:t>
      </w:r>
    </w:p>
  </w:footnote>
  <w:footnote w:id="195">
    <w:p w:rsidR="009A6BD2" w:rsidRDefault="003E2D0F">
      <w:pPr>
        <w:pStyle w:val="Testonotaapidipagina"/>
      </w:pPr>
      <w:r>
        <w:rPr>
          <w:rStyle w:val="Rimandonotaapidipagina"/>
        </w:rPr>
        <w:footnoteRef/>
      </w:r>
      <w:r>
        <w:t xml:space="preserve"> </w:t>
      </w:r>
      <w:r>
        <w:tab/>
        <w:t>Ibid., p. 627.</w:t>
      </w:r>
    </w:p>
  </w:footnote>
  <w:footnote w:id="196">
    <w:p w:rsidR="009A6BD2" w:rsidRDefault="003E2D0F">
      <w:pPr>
        <w:pStyle w:val="Testonotaapidipagina"/>
      </w:pPr>
      <w:r>
        <w:rPr>
          <w:rStyle w:val="Rimandonotaapidipagina"/>
        </w:rPr>
        <w:footnoteRef/>
      </w:r>
      <w:r>
        <w:t xml:space="preserve"> </w:t>
      </w:r>
      <w:r>
        <w:tab/>
        <w:t>Ibid., p. 466.</w:t>
      </w:r>
    </w:p>
  </w:footnote>
  <w:footnote w:id="197">
    <w:p w:rsidR="009A6BD2" w:rsidRDefault="003E2D0F">
      <w:pPr>
        <w:pStyle w:val="Testonotaapidipagina"/>
      </w:pPr>
      <w:r>
        <w:rPr>
          <w:rStyle w:val="Rimandonotaapidipagina"/>
        </w:rPr>
        <w:footnoteRef/>
      </w:r>
      <w:r>
        <w:t xml:space="preserve"> </w:t>
      </w:r>
      <w:r>
        <w:tab/>
        <w:t>Ibid. Si toutes ces forma</w:t>
      </w:r>
      <w:r>
        <w:t>lités ne sont pas rigoureusement observées, on croit qu'il en résultera pour l'individu de graves calamités,</w:t>
      </w:r>
    </w:p>
  </w:footnote>
  <w:footnote w:id="198">
    <w:p w:rsidR="009A6BD2" w:rsidRDefault="003E2D0F">
      <w:pPr>
        <w:pStyle w:val="Testonotaapidipagina"/>
      </w:pPr>
      <w:r>
        <w:rPr>
          <w:rStyle w:val="Rimandonotaapidipagina"/>
        </w:rPr>
        <w:footnoteRef/>
      </w:r>
      <w:r>
        <w:t xml:space="preserve"> </w:t>
      </w:r>
      <w:r>
        <w:tab/>
        <w:t>Nat. Tr., p. 358 ; North, Tr., p. 604.</w:t>
      </w:r>
    </w:p>
  </w:footnote>
  <w:footnote w:id="199">
    <w:p w:rsidR="009A6BD2" w:rsidRDefault="003E2D0F">
      <w:pPr>
        <w:pStyle w:val="Testonotaapidipagina"/>
      </w:pPr>
      <w:r>
        <w:rPr>
          <w:rStyle w:val="Rimandonotaapidipagina"/>
        </w:rPr>
        <w:footnoteRef/>
      </w:r>
      <w:r>
        <w:t xml:space="preserve"> </w:t>
      </w:r>
      <w:r>
        <w:tab/>
        <w:t>Le prépuce, une fois détaché par la circoncision, est parfois dissimulé aux regards tout comme le sang</w:t>
      </w:r>
      <w:r>
        <w:t>; il a des vertus spéciales; par exemple, il assure la fécondité de certaines espèces végétales et animales (North. Tr., p. 353-354). Les favoris sont assimilés aux cheveux et traités comme tels (North. Tr., pp. 544, 604). Ils jouent d'ailleurs un rôle dan</w:t>
      </w:r>
      <w:r>
        <w:t>s les mythes (ibid., p. 158). Quant à la graisse, son caractère sacré ressort de l'emploi qui en est fait dans certains rites funéraires.</w:t>
      </w:r>
    </w:p>
  </w:footnote>
  <w:footnote w:id="200">
    <w:p w:rsidR="009A6BD2" w:rsidRDefault="003E2D0F">
      <w:pPr>
        <w:pStyle w:val="Testonotaapidipagina"/>
      </w:pPr>
      <w:r>
        <w:rPr>
          <w:rStyle w:val="Rimandonotaapidipagina"/>
        </w:rPr>
        <w:footnoteRef/>
      </w:r>
      <w:r>
        <w:t xml:space="preserve"> </w:t>
      </w:r>
      <w:r>
        <w:tab/>
        <w:t xml:space="preserve">Ce n'est pas à dire que la femme soit absolument profane. Dans les mythes, elle joue, au moins chez les Arunta, un </w:t>
      </w:r>
      <w:r>
        <w:t>rôle religieux beaucoup plus important que celui qu'elle a dans la réalité (Nat. Tr., p. 195-196). Maintenant encore, elle prend part à certains rites de l'initiation. Enfin, son sang a des vertus religieuses (v. Nat. Tr., p. 464; cf. La prohibition de l'i</w:t>
      </w:r>
      <w:r>
        <w:t>nceste et ses origines, Année sociol., I, p. 51 et suiv.).</w:t>
      </w:r>
    </w:p>
    <w:p w:rsidR="009A6BD2" w:rsidRDefault="003E2D0F">
      <w:pPr>
        <w:pStyle w:val="Testonotaapidipagina"/>
        <w:ind w:firstLine="346"/>
      </w:pPr>
      <w:r>
        <w:t>C'est de cette situation complexe de la femme que dépendent les interdits exogamiques. Nous n'en parlons pas ici, parce qu'ils se rattachent plus directement au problème de l'organisation domestiqu</w:t>
      </w:r>
      <w:r>
        <w:t>e et matrimoniale.</w:t>
      </w:r>
    </w:p>
  </w:footnote>
  <w:footnote w:id="201">
    <w:p w:rsidR="009A6BD2" w:rsidRDefault="003E2D0F">
      <w:pPr>
        <w:pStyle w:val="Testonotaapidipagina"/>
      </w:pPr>
      <w:r>
        <w:rPr>
          <w:rStyle w:val="Rimandonotaapidipagina"/>
        </w:rPr>
        <w:footnoteRef/>
      </w:r>
      <w:r>
        <w:t xml:space="preserve"> </w:t>
      </w:r>
      <w:r>
        <w:tab/>
        <w:t>Nat. Tr., p. 460.</w:t>
      </w:r>
    </w:p>
  </w:footnote>
  <w:footnote w:id="202">
    <w:p w:rsidR="009A6BD2" w:rsidRDefault="003E2D0F">
      <w:pPr>
        <w:pStyle w:val="Testonotaapidipagina"/>
      </w:pPr>
      <w:r>
        <w:rPr>
          <w:rStyle w:val="Rimandonotaapidipagina"/>
        </w:rPr>
        <w:footnoteRef/>
      </w:r>
      <w:r>
        <w:t xml:space="preserve"> </w:t>
      </w:r>
      <w:r>
        <w:tab/>
        <w:t>Chez les Wakelbura, d'après HOWITT, P. 146; chez les Bechuana, d'après CASALIS, Basoutos, p. 221.</w:t>
      </w:r>
    </w:p>
  </w:footnote>
  <w:footnote w:id="203">
    <w:p w:rsidR="009A6BD2" w:rsidRDefault="003E2D0F">
      <w:pPr>
        <w:pStyle w:val="Testonotaapidipagina"/>
      </w:pPr>
      <w:r>
        <w:rPr>
          <w:rStyle w:val="Rimandonotaapidipagina"/>
        </w:rPr>
        <w:footnoteRef/>
      </w:r>
      <w:r>
        <w:t xml:space="preserve"> </w:t>
      </w:r>
      <w:r>
        <w:tab/>
        <w:t>Chez les Buandik, les Kurnai (HOWITT, Ibid.) ; chez les Arunta (STREHLOW, II, p. 58).</w:t>
      </w:r>
    </w:p>
  </w:footnote>
  <w:footnote w:id="204">
    <w:p w:rsidR="009A6BD2" w:rsidRDefault="003E2D0F">
      <w:pPr>
        <w:pStyle w:val="Testonotaapidipagina"/>
      </w:pPr>
      <w:r>
        <w:rPr>
          <w:rStyle w:val="Rimandonotaapidipagina"/>
        </w:rPr>
        <w:footnoteRef/>
      </w:r>
      <w:r>
        <w:t xml:space="preserve"> </w:t>
      </w:r>
      <w:r>
        <w:tab/>
        <w:t>HOWITT, ibid.</w:t>
      </w:r>
    </w:p>
  </w:footnote>
  <w:footnote w:id="205">
    <w:p w:rsidR="009A6BD2" w:rsidRDefault="003E2D0F">
      <w:pPr>
        <w:pStyle w:val="Testonotaapidipagina"/>
      </w:pPr>
      <w:r>
        <w:rPr>
          <w:rStyle w:val="Rimandonotaapidipagina"/>
        </w:rPr>
        <w:footnoteRef/>
      </w:r>
      <w:r>
        <w:t xml:space="preserve"> </w:t>
      </w:r>
      <w:r>
        <w:tab/>
        <w:t>Sur la</w:t>
      </w:r>
      <w:r>
        <w:t xml:space="preserve"> rivière Tully, dit ROTH (Superstition, Magie and Medicine, in North Queensland Ethnography, no 5, § 74), quand un indigène va dormir ou se lève le matin, il prononce à voix plus ou moins basse le nom de l'animal d'après lequel il est lui-même nommé. Le bu</w:t>
      </w:r>
      <w:r>
        <w:t>t de cette pratique est de rendre l'homme habile ou heureux à la chasse ou de prévenir les dangers auxquels il peut être exposé de la part de cet animal. Par exemple, un homme qui a pour totem une espèce de serpent, est à l'abri des morsures si cette invoc</w:t>
      </w:r>
      <w:r>
        <w:t>ation a été régulièrement faite.</w:t>
      </w:r>
    </w:p>
  </w:footnote>
  <w:footnote w:id="206">
    <w:p w:rsidR="009A6BD2" w:rsidRDefault="003E2D0F">
      <w:pPr>
        <w:pStyle w:val="Testonotaapidipagina"/>
      </w:pPr>
      <w:r>
        <w:rPr>
          <w:rStyle w:val="Rimandonotaapidipagina"/>
        </w:rPr>
        <w:footnoteRef/>
      </w:r>
      <w:r>
        <w:t xml:space="preserve"> </w:t>
      </w:r>
      <w:r>
        <w:tab/>
        <w:t>TAPLIN, Narrinyeri, p. 64; HOWITT, Nat. Tr., p. 147; ROTH, loc. cit.</w:t>
      </w:r>
    </w:p>
  </w:footnote>
  <w:footnote w:id="207">
    <w:p w:rsidR="009A6BD2" w:rsidRDefault="003E2D0F">
      <w:pPr>
        <w:pStyle w:val="Testonotaapidipagina"/>
      </w:pPr>
      <w:r>
        <w:rPr>
          <w:rStyle w:val="Rimandonotaapidipagina"/>
        </w:rPr>
        <w:footnoteRef/>
      </w:r>
      <w:r>
        <w:t xml:space="preserve"> </w:t>
      </w:r>
      <w:r>
        <w:tab/>
        <w:t>STREHLOW, II, p. 58.</w:t>
      </w:r>
    </w:p>
  </w:footnote>
  <w:footnote w:id="208">
    <w:p w:rsidR="009A6BD2" w:rsidRDefault="003E2D0F">
      <w:pPr>
        <w:pStyle w:val="Testonotaapidipagina"/>
      </w:pPr>
      <w:r>
        <w:rPr>
          <w:rStyle w:val="Rimandonotaapidipagina"/>
        </w:rPr>
        <w:footnoteRef/>
      </w:r>
      <w:r>
        <w:t xml:space="preserve"> </w:t>
      </w:r>
      <w:r>
        <w:tab/>
        <w:t>Howitt, p. 148.</w:t>
      </w:r>
    </w:p>
  </w:footnote>
  <w:footnote w:id="209">
    <w:p w:rsidR="009A6BD2" w:rsidRDefault="003E2D0F">
      <w:pPr>
        <w:pStyle w:val="Testonotaapidipagina"/>
      </w:pPr>
      <w:r>
        <w:rPr>
          <w:rStyle w:val="Rimandonotaapidipagina"/>
        </w:rPr>
        <w:footnoteRef/>
      </w:r>
      <w:r>
        <w:t xml:space="preserve"> </w:t>
      </w:r>
      <w:r>
        <w:tab/>
        <w:t>North. Tr., pp. 159-160.</w:t>
      </w:r>
    </w:p>
  </w:footnote>
  <w:footnote w:id="210">
    <w:p w:rsidR="009A6BD2" w:rsidRDefault="003E2D0F">
      <w:pPr>
        <w:pStyle w:val="Testonotaapidipagina"/>
      </w:pPr>
      <w:r>
        <w:rPr>
          <w:rStyle w:val="Rimandonotaapidipagina"/>
        </w:rPr>
        <w:footnoteRef/>
      </w:r>
      <w:r>
        <w:t xml:space="preserve"> </w:t>
      </w:r>
      <w:r>
        <w:tab/>
        <w:t>Ibid.</w:t>
      </w:r>
    </w:p>
  </w:footnote>
  <w:footnote w:id="211">
    <w:p w:rsidR="009A6BD2" w:rsidRDefault="003E2D0F">
      <w:pPr>
        <w:pStyle w:val="Testonotaapidipagina"/>
      </w:pPr>
      <w:r>
        <w:rPr>
          <w:rStyle w:val="Rimandonotaapidipagina"/>
        </w:rPr>
        <w:footnoteRef/>
      </w:r>
      <w:r>
        <w:t xml:space="preserve"> </w:t>
      </w:r>
      <w:r>
        <w:tab/>
        <w:t>Ibid., p. 255; Nat. Tr., pp. 202, 203.</w:t>
      </w:r>
    </w:p>
  </w:footnote>
  <w:footnote w:id="212">
    <w:p w:rsidR="009A6BD2" w:rsidRDefault="003E2D0F">
      <w:pPr>
        <w:pStyle w:val="Testonotaapidipagina"/>
      </w:pPr>
      <w:r>
        <w:rPr>
          <w:rStyle w:val="Rimandonotaapidipagina"/>
        </w:rPr>
        <w:footnoteRef/>
      </w:r>
      <w:r>
        <w:t xml:space="preserve"> </w:t>
      </w:r>
      <w:r>
        <w:tab/>
        <w:t>A. L. P. CAMERON, On Two Q</w:t>
      </w:r>
      <w:r>
        <w:t>ueensland Tribes, in Science of Man, Australasian Anthropological Journal, 1904, VII, 28, col. I.</w:t>
      </w:r>
    </w:p>
  </w:footnote>
  <w:footnote w:id="213">
    <w:p w:rsidR="009A6BD2" w:rsidRDefault="003E2D0F">
      <w:pPr>
        <w:pStyle w:val="Testonotaapidipagina"/>
      </w:pPr>
      <w:r>
        <w:rPr>
          <w:rStyle w:val="Rimandonotaapidipagina"/>
        </w:rPr>
        <w:footnoteRef/>
      </w:r>
      <w:r>
        <w:t xml:space="preserve"> </w:t>
      </w:r>
      <w:r>
        <w:tab/>
        <w:t>Kamilaroi and Kurnai, p. 170.</w:t>
      </w:r>
    </w:p>
  </w:footnote>
  <w:footnote w:id="214">
    <w:p w:rsidR="009A6BD2" w:rsidRDefault="003E2D0F">
      <w:pPr>
        <w:pStyle w:val="Testonotaapidipagina"/>
      </w:pPr>
      <w:r>
        <w:rPr>
          <w:rStyle w:val="Rimandonotaapidipagina"/>
        </w:rPr>
        <w:footnoteRef/>
      </w:r>
      <w:r>
        <w:t xml:space="preserve"> </w:t>
      </w:r>
      <w:r>
        <w:tab/>
        <w:t>Notes on some Australian Tribes, J.A.I., XIII, p. 300.</w:t>
      </w:r>
    </w:p>
  </w:footnote>
  <w:footnote w:id="215">
    <w:p w:rsidR="009A6BD2" w:rsidRDefault="003E2D0F">
      <w:pPr>
        <w:pStyle w:val="Testonotaapidipagina"/>
      </w:pPr>
      <w:r>
        <w:rPr>
          <w:rStyle w:val="Rimandonotaapidipagina"/>
        </w:rPr>
        <w:footnoteRef/>
      </w:r>
      <w:r>
        <w:t xml:space="preserve"> </w:t>
      </w:r>
      <w:r>
        <w:tab/>
        <w:t>Dans GURR, Australian Race, III, p. 45; BROUGH-SMYTH, The Aborig</w:t>
      </w:r>
      <w:r>
        <w:t>ines of Victoria, I, p. 91; FISON et HOWITT, Kamilaroi and Kurnai, p. 168.</w:t>
      </w:r>
    </w:p>
  </w:footnote>
  <w:footnote w:id="216">
    <w:p w:rsidR="009A6BD2" w:rsidRDefault="003E2D0F">
      <w:pPr>
        <w:pStyle w:val="Testonotaapidipagina"/>
      </w:pPr>
      <w:r>
        <w:rPr>
          <w:rStyle w:val="Rimandonotaapidipagina"/>
        </w:rPr>
        <w:footnoteRef/>
      </w:r>
      <w:r>
        <w:t xml:space="preserve"> </w:t>
      </w:r>
      <w:r>
        <w:tab/>
        <w:t>DURKHEIM et Mauss, De quelques formes primitives de classification, in Année sociol., VI, p. 1 et suiv.</w:t>
      </w:r>
    </w:p>
  </w:footnote>
  <w:footnote w:id="217">
    <w:p w:rsidR="009A6BD2" w:rsidRDefault="003E2D0F">
      <w:pPr>
        <w:pStyle w:val="Testonotaapidipagina"/>
      </w:pPr>
      <w:r>
        <w:rPr>
          <w:rStyle w:val="Rimandonotaapidipagina"/>
        </w:rPr>
        <w:footnoteRef/>
      </w:r>
      <w:r>
        <w:t xml:space="preserve"> </w:t>
      </w:r>
      <w:r>
        <w:tab/>
        <w:t>CURR, III, p. 461.</w:t>
      </w:r>
    </w:p>
  </w:footnote>
  <w:footnote w:id="218">
    <w:p w:rsidR="009A6BD2" w:rsidRDefault="003E2D0F">
      <w:pPr>
        <w:pStyle w:val="Testonotaapidipagina"/>
      </w:pPr>
      <w:r>
        <w:rPr>
          <w:rStyle w:val="Rimandonotaapidipagina"/>
        </w:rPr>
        <w:footnoteRef/>
      </w:r>
      <w:r>
        <w:t xml:space="preserve"> </w:t>
      </w:r>
      <w:r>
        <w:tab/>
        <w:t>Curr et Fison ont été renseignés par la même pers</w:t>
      </w:r>
      <w:r>
        <w:t>onne, D. S. Stewart.</w:t>
      </w:r>
    </w:p>
  </w:footnote>
  <w:footnote w:id="219">
    <w:p w:rsidR="009A6BD2" w:rsidRDefault="003E2D0F">
      <w:pPr>
        <w:pStyle w:val="Testonotaapidipagina"/>
      </w:pPr>
      <w:r>
        <w:rPr>
          <w:rStyle w:val="Rimandonotaapidipagina"/>
        </w:rPr>
        <w:footnoteRef/>
      </w:r>
      <w:r>
        <w:t xml:space="preserve"> </w:t>
      </w:r>
      <w:r>
        <w:tab/>
        <w:t>MATHEWS, Aboriginal Tribes of N. S. Wales and Victoria, in Journal and Proceedings of the Royal Society of N. S. Wales, XXXVIII, pp. 287-288; HOWITT, Nat. Tr., p. 121.</w:t>
      </w:r>
    </w:p>
  </w:footnote>
  <w:footnote w:id="220">
    <w:p w:rsidR="009A6BD2" w:rsidRDefault="003E2D0F">
      <w:pPr>
        <w:pStyle w:val="Testonotaapidipagina"/>
      </w:pPr>
      <w:r>
        <w:rPr>
          <w:rStyle w:val="Rimandonotaapidipagina"/>
        </w:rPr>
        <w:footnoteRef/>
      </w:r>
      <w:r>
        <w:t xml:space="preserve"> </w:t>
      </w:r>
      <w:r>
        <w:tab/>
        <w:t>La forme féminine des noms donnés par Mathews est : Gurogigur</w:t>
      </w:r>
      <w:r>
        <w:t>k et Gamatykurk. Ce sont ces formes que Howitt a reproduites avec une orthographe légèrement différente. Ces deux noms sont, d'ailleurs, les équivalents de ceux qui sont en usage dans la tribu du Mont-Gambier (Kumite et Kroki).</w:t>
      </w:r>
    </w:p>
  </w:footnote>
  <w:footnote w:id="221">
    <w:p w:rsidR="009A6BD2" w:rsidRDefault="003E2D0F">
      <w:pPr>
        <w:pStyle w:val="Testonotaapidipagina"/>
      </w:pPr>
      <w:r>
        <w:rPr>
          <w:rStyle w:val="Rimandonotaapidipagina"/>
        </w:rPr>
        <w:footnoteRef/>
      </w:r>
      <w:r>
        <w:t xml:space="preserve"> </w:t>
      </w:r>
      <w:r>
        <w:tab/>
        <w:t>Le nom indigène de ce cla</w:t>
      </w:r>
      <w:r>
        <w:t>n est DyàIup que Mathews ne traduit pas. Mais ce mot paraît bien identique à celui de Jallup par lequel Howitt désigne un sous-clan de cette même tribu et qu'il traduit par mussel, coquillage, moule. C'est pourquoi nous croyons pouvoir risquer cette traduc</w:t>
      </w:r>
      <w:r>
        <w:t>tion.</w:t>
      </w:r>
    </w:p>
  </w:footnote>
  <w:footnote w:id="222">
    <w:p w:rsidR="009A6BD2" w:rsidRDefault="003E2D0F">
      <w:pPr>
        <w:pStyle w:val="Testonotaapidipagina"/>
      </w:pPr>
      <w:r>
        <w:rPr>
          <w:rStyle w:val="Rimandonotaapidipagina"/>
        </w:rPr>
        <w:footnoteRef/>
      </w:r>
      <w:r>
        <w:t xml:space="preserve"> </w:t>
      </w:r>
      <w:r>
        <w:tab/>
        <w:t>C'est la traduction de Howitt, Mathews traduit le mot (Wartwurt) par la chaleur du soleil à midi.</w:t>
      </w:r>
    </w:p>
  </w:footnote>
  <w:footnote w:id="223">
    <w:p w:rsidR="009A6BD2" w:rsidRDefault="003E2D0F">
      <w:pPr>
        <w:pStyle w:val="Testonotaapidipagina"/>
      </w:pPr>
      <w:r>
        <w:rPr>
          <w:rStyle w:val="Rimandonotaapidipagina"/>
        </w:rPr>
        <w:footnoteRef/>
      </w:r>
      <w:r>
        <w:t xml:space="preserve"> </w:t>
      </w:r>
      <w:r>
        <w:tab/>
        <w:t>Le tableau de Mathews et celui de Howitt sont en désaccord sur plus d'un point important. Il semble même que les clans attribués par Howitt à la p</w:t>
      </w:r>
      <w:r>
        <w:t>hratrie Kroki soient comptés par Mathews dans la phratrie Gamutch et inversement. C'est la preuve des très grandes difficultés que présentent ces observations. Ces discordances sont, d'ailleurs, sans intérêt pour la question que nous traitons.</w:t>
      </w:r>
    </w:p>
  </w:footnote>
  <w:footnote w:id="224">
    <w:p w:rsidR="009A6BD2" w:rsidRDefault="003E2D0F">
      <w:pPr>
        <w:pStyle w:val="Testonotaapidipagina"/>
      </w:pPr>
      <w:r>
        <w:rPr>
          <w:rStyle w:val="Rimandonotaapidipagina"/>
        </w:rPr>
        <w:footnoteRef/>
      </w:r>
      <w:r>
        <w:t xml:space="preserve"> </w:t>
      </w:r>
      <w:r>
        <w:tab/>
        <w:t>Mrs. Lang</w:t>
      </w:r>
      <w:r>
        <w:t>loh PARKER, The Euahlayi Tribe, p. 12 et suiv.</w:t>
      </w:r>
    </w:p>
  </w:footnote>
  <w:footnote w:id="225">
    <w:p w:rsidR="009A6BD2" w:rsidRDefault="003E2D0F">
      <w:pPr>
        <w:pStyle w:val="Testonotaapidipagina"/>
      </w:pPr>
      <w:r>
        <w:rPr>
          <w:rStyle w:val="Rimandonotaapidipagina"/>
        </w:rPr>
        <w:footnoteRef/>
      </w:r>
      <w:r>
        <w:t xml:space="preserve"> </w:t>
      </w:r>
      <w:r>
        <w:tab/>
        <w:t>On trouvera les faits plus loin.</w:t>
      </w:r>
    </w:p>
  </w:footnote>
  <w:footnote w:id="226">
    <w:p w:rsidR="009A6BD2" w:rsidRDefault="003E2D0F">
      <w:pPr>
        <w:pStyle w:val="Testonotaapidipagina"/>
      </w:pPr>
      <w:r>
        <w:rPr>
          <w:rStyle w:val="Rimandonotaapidipagina"/>
        </w:rPr>
        <w:footnoteRef/>
      </w:r>
      <w:r>
        <w:t xml:space="preserve"> </w:t>
      </w:r>
      <w:r>
        <w:tab/>
        <w:t xml:space="preserve">CURR, III, p. 27. Cf. HOWITT, Nat. Tr., p. 112. Nous nous bornons à citer les faits les plus caractéristiques. Pour le détail, on pourra se reporter au mémoire déjà cité </w:t>
      </w:r>
      <w:r>
        <w:t xml:space="preserve">sur </w:t>
      </w:r>
      <w:r>
        <w:rPr>
          <w:i/>
          <w:iCs/>
        </w:rPr>
        <w:t>Les classifications primitives.</w:t>
      </w:r>
    </w:p>
  </w:footnote>
  <w:footnote w:id="227">
    <w:p w:rsidR="009A6BD2" w:rsidRDefault="003E2D0F">
      <w:pPr>
        <w:pStyle w:val="Testonotaapidipagina"/>
      </w:pPr>
      <w:r>
        <w:rPr>
          <w:rStyle w:val="Rimandonotaapidipagina"/>
        </w:rPr>
        <w:footnoteRef/>
      </w:r>
      <w:r>
        <w:t xml:space="preserve"> </w:t>
      </w:r>
      <w:r>
        <w:tab/>
        <w:t>Ibid., p. 34 et suiv.</w:t>
      </w:r>
    </w:p>
  </w:footnote>
  <w:footnote w:id="228">
    <w:p w:rsidR="009A6BD2" w:rsidRDefault="003E2D0F">
      <w:pPr>
        <w:pStyle w:val="Testonotaapidipagina"/>
      </w:pPr>
      <w:r>
        <w:rPr>
          <w:rStyle w:val="Rimandonotaapidipagina"/>
        </w:rPr>
        <w:footnoteRef/>
      </w:r>
      <w:r>
        <w:t xml:space="preserve"> </w:t>
      </w:r>
      <w:r>
        <w:tab/>
        <w:t>SWANTON, The Haida, pp. 13-14, 17, 22.</w:t>
      </w:r>
    </w:p>
  </w:footnote>
  <w:footnote w:id="229">
    <w:p w:rsidR="009A6BD2" w:rsidRDefault="003E2D0F">
      <w:pPr>
        <w:pStyle w:val="Testonotaapidipagina"/>
      </w:pPr>
      <w:r>
        <w:rPr>
          <w:rStyle w:val="Rimandonotaapidipagina"/>
        </w:rPr>
        <w:footnoteRef/>
      </w:r>
      <w:r>
        <w:t xml:space="preserve"> </w:t>
      </w:r>
      <w:r>
        <w:tab/>
        <w:t>C'est particulièrement manifeste chez les Haida. Chez eux, dit Swanton, tout animal a deux aspects. Par un côté, c'est un être ordinaire, qui peut êtr</w:t>
      </w:r>
      <w:r>
        <w:t>e chassé et mangé; mais en même temps, c'est un être surnaturel, qui a la forme extérieure d'un animal, et de qui l'homme dépend. Les êtres mythiques, correspondant aux divers phénomènes cosmiques, ont la même ambiguïté (SWANTON, ibid., pp. 16, 14, 25).</w:t>
      </w:r>
    </w:p>
  </w:footnote>
  <w:footnote w:id="230">
    <w:p w:rsidR="009A6BD2" w:rsidRDefault="003E2D0F">
      <w:pPr>
        <w:pStyle w:val="Testonotaapidipagina"/>
      </w:pPr>
      <w:r>
        <w:rPr>
          <w:rStyle w:val="Rimandonotaapidipagina"/>
        </w:rPr>
        <w:footnoteRef/>
      </w:r>
      <w:r>
        <w:t xml:space="preserve"> </w:t>
      </w:r>
      <w:r>
        <w:tab/>
        <w:t>V. plus haut, p. 202. Il en est ainsi chez les Gourditch-mara (HOWITT, Nat. Tr., p. 124), dans les tribus observées par Cameron près de Mortlake et chez les Wotjobaluk (HOWITT, Nat. Tr., pp. 125,250).</w:t>
      </w:r>
    </w:p>
  </w:footnote>
  <w:footnote w:id="231">
    <w:p w:rsidR="009A6BD2" w:rsidRDefault="003E2D0F">
      <w:pPr>
        <w:pStyle w:val="Testonotaapidipagina"/>
      </w:pPr>
      <w:r>
        <w:rPr>
          <w:rStyle w:val="Rimandonotaapidipagina"/>
        </w:rPr>
        <w:footnoteRef/>
      </w:r>
      <w:r>
        <w:t xml:space="preserve"> </w:t>
      </w:r>
      <w:r>
        <w:tab/>
        <w:t>J. MATHEW, Two Repres. Tribes, p. 139; Thomas, Kins</w:t>
      </w:r>
      <w:r>
        <w:t>hip a. Mariage, etc., pp. 53-54.</w:t>
      </w:r>
    </w:p>
  </w:footnote>
  <w:footnote w:id="232">
    <w:p w:rsidR="009A6BD2" w:rsidRDefault="003E2D0F">
      <w:pPr>
        <w:pStyle w:val="Testonotaapidipagina"/>
      </w:pPr>
      <w:r>
        <w:rPr>
          <w:rStyle w:val="Rimandonotaapidipagina"/>
        </w:rPr>
        <w:footnoteRef/>
      </w:r>
      <w:r>
        <w:t xml:space="preserve"> </w:t>
      </w:r>
      <w:r>
        <w:tab/>
        <w:t>Par exemple chez les Osage (v. Dorsey, Siouan Sociology, in XVth Rep., p. 233 et suiv.).</w:t>
      </w:r>
    </w:p>
  </w:footnote>
  <w:footnote w:id="233">
    <w:p w:rsidR="009A6BD2" w:rsidRDefault="003E2D0F">
      <w:pPr>
        <w:pStyle w:val="Testonotaapidipagina"/>
      </w:pPr>
      <w:r>
        <w:rPr>
          <w:rStyle w:val="Rimandonotaapidipagina"/>
        </w:rPr>
        <w:footnoteRef/>
      </w:r>
      <w:r>
        <w:t xml:space="preserve"> </w:t>
      </w:r>
      <w:r>
        <w:tab/>
        <w:t>A Mabuiag, île du détroit de Torrès (HADDON, Head Hanters, p. 132). On trouve d'ailleurs la même opposition entre les deux phrat</w:t>
      </w:r>
      <w:r>
        <w:t>ries des Arunta : l'une comprend les gens de l'eau, l'autre les gens de la terre (STREHLOW, I, p. 6).</w:t>
      </w:r>
    </w:p>
  </w:footnote>
  <w:footnote w:id="234">
    <w:p w:rsidR="009A6BD2" w:rsidRDefault="003E2D0F">
      <w:pPr>
        <w:pStyle w:val="Testonotaapidipagina"/>
      </w:pPr>
      <w:r>
        <w:rPr>
          <w:rStyle w:val="Rimandonotaapidipagina"/>
        </w:rPr>
        <w:footnoteRef/>
      </w:r>
      <w:r>
        <w:t xml:space="preserve"> </w:t>
      </w:r>
      <w:r>
        <w:tab/>
        <w:t>Chez les Iroquois, il y a des sortes de tournois, entre les deux phratries (MORGAN, Ancient Society, p. 94). Chez les Haida, dit Swanton, les membres d</w:t>
      </w:r>
      <w:r>
        <w:t>es deux phratries de l'Aigle et du Corbeau « sont souvent considérés comme des ennemis avérés. Maris et femmes (qui sont obligatoirement de phratries différentes) n'hésitent pas à se trahir mutuellement » (The Haida, p. 62). En Australie, cette hostilité s</w:t>
      </w:r>
      <w:r>
        <w:t>e traduit dans les mythes. Les deux animaux qui servent de totems aux deux phratries sont souvent présentés comme perpétuellement en guerre l'un contre l'autre (v. J. MATHEW, Eaglekawk and Crow, a Study of Australian Aborigines, p. 14 et suiv.). Dans les j</w:t>
      </w:r>
      <w:r>
        <w:t>eux, chaque phratrie est j'émule naturelle de l'autre (HOWITT, Nat. Tr., p. 770).</w:t>
      </w:r>
    </w:p>
  </w:footnote>
  <w:footnote w:id="235">
    <w:p w:rsidR="009A6BD2" w:rsidRDefault="003E2D0F">
      <w:pPr>
        <w:pStyle w:val="Testonotaapidipagina"/>
      </w:pPr>
      <w:r>
        <w:rPr>
          <w:rStyle w:val="Rimandonotaapidipagina"/>
        </w:rPr>
        <w:footnoteRef/>
      </w:r>
      <w:r>
        <w:t xml:space="preserve"> </w:t>
      </w:r>
      <w:r>
        <w:tab/>
        <w:t xml:space="preserve">C'est donc à tort que M. THOMAS a reproché à notre théorie sur la genèse des phratries de ne pouvoir expliquer leur opposition (Kinship and Marriage in Australia, p. 69). </w:t>
      </w:r>
      <w:r>
        <w:t>Nous ne croyons pas toutefois qu'il faille ramener cette opposition à celle du profane et du sacré (v. HERTZ, La prééminence de là main droite, in Revue phil., 1909, déc., p. 559). Les choses d'une phratrie ne sont pas profanes pour l'autre; les unes et le</w:t>
      </w:r>
      <w:r>
        <w:t>s autres font partie d'un même système religieux (v. plus bas, p. 220).</w:t>
      </w:r>
    </w:p>
  </w:footnote>
  <w:footnote w:id="236">
    <w:p w:rsidR="009A6BD2" w:rsidRDefault="003E2D0F">
      <w:pPr>
        <w:pStyle w:val="Testonotaapidipagina"/>
      </w:pPr>
      <w:r>
        <w:rPr>
          <w:rStyle w:val="Rimandonotaapidipagina"/>
        </w:rPr>
        <w:footnoteRef/>
      </w:r>
      <w:r>
        <w:t xml:space="preserve"> </w:t>
      </w:r>
      <w:r>
        <w:tab/>
        <w:t xml:space="preserve">Par exemple, le clan de l'arbre à thé comprend les herbages, par suite les herbivores (v. Kamilaroi and Kurnai, p. 169). C'est là, sans doute, ce qui explique une particularité que </w:t>
      </w:r>
      <w:r>
        <w:t>Boas signale dans les emblèmes totémiques de l'Amérique du Nord. « Chez les Tlinkit, dit-il, et dans toutes les autres tribus de la côte, l'emblème d'un groupe comprend les animaux qui servent de nourriture à celui dont le groupe porte le nom » (Firth Rep.</w:t>
      </w:r>
      <w:r>
        <w:t xml:space="preserve"> of the Committee, etc., British Association for the Advancement of Science, p. 25).</w:t>
      </w:r>
    </w:p>
  </w:footnote>
  <w:footnote w:id="237">
    <w:p w:rsidR="009A6BD2" w:rsidRDefault="003E2D0F">
      <w:pPr>
        <w:pStyle w:val="Testonotaapidipagina"/>
      </w:pPr>
      <w:r>
        <w:rPr>
          <w:rStyle w:val="Rimandonotaapidipagina"/>
        </w:rPr>
        <w:footnoteRef/>
      </w:r>
      <w:r>
        <w:t xml:space="preserve"> </w:t>
      </w:r>
      <w:r>
        <w:tab/>
        <w:t>Ainsi, chez les Arunta, les grenouilles sont associées au totem de l'arbre à gomme, parce qu'on en trouve souvent dans les cavités de cet arbre; l'eau est rattachée à l</w:t>
      </w:r>
      <w:r>
        <w:t>a poule d'eau ; au kangourou, une sorte de perroquet que l'on voit fréquemment voleter autour de cet animal (Spencer et GILLEN, Nat, Tr., pp. 146-147, 448).</w:t>
      </w:r>
    </w:p>
  </w:footnote>
  <w:footnote w:id="238">
    <w:p w:rsidR="009A6BD2" w:rsidRDefault="003E2D0F">
      <w:pPr>
        <w:pStyle w:val="Testonotaapidipagina"/>
      </w:pPr>
      <w:r>
        <w:rPr>
          <w:rStyle w:val="Rimandonotaapidipagina"/>
        </w:rPr>
        <w:footnoteRef/>
      </w:r>
      <w:r>
        <w:t xml:space="preserve"> </w:t>
      </w:r>
      <w:r>
        <w:tab/>
        <w:t>Un des signes de cette indistinction primitive, c'est que l'on assigne parfois aux genres une ba</w:t>
      </w:r>
      <w:r>
        <w:t xml:space="preserve">se territoriale, tout comme aux divisions sociales avec lesquelles ils étaient d'abord confondus. Ainsi, chez les Wotjobaluk en Australie, chez les Zuñi en Amérique, les choses sont réparties idéalement entre les différentes régions de l'espace, ainsi que </w:t>
      </w:r>
      <w:r>
        <w:t>les clans. Or la répartition régionale des choses et celle des clans coïncident (v. De quelques formes primitives de classification, p. 34 et suiv.). Les classifications gardent même quelque chose de ce caractère spatial jusque chez les peuples relativemen</w:t>
      </w:r>
      <w:r>
        <w:t>t avancés, par exemple en Chine (ibid., p. 55 et suiv.).</w:t>
      </w:r>
    </w:p>
  </w:footnote>
  <w:footnote w:id="239">
    <w:p w:rsidR="009A6BD2" w:rsidRDefault="003E2D0F">
      <w:pPr>
        <w:pStyle w:val="Testonotaapidipagina"/>
      </w:pPr>
      <w:r>
        <w:rPr>
          <w:rStyle w:val="Rimandonotaapidipagina"/>
        </w:rPr>
        <w:footnoteRef/>
      </w:r>
      <w:r>
        <w:t xml:space="preserve"> </w:t>
      </w:r>
      <w:r>
        <w:tab/>
        <w:t>BRIDGMANN, in BROUGH SMYTH, The Aborigines of Victoria, I, p. 91.</w:t>
      </w:r>
    </w:p>
  </w:footnote>
  <w:footnote w:id="240">
    <w:p w:rsidR="009A6BD2" w:rsidRDefault="003E2D0F">
      <w:pPr>
        <w:pStyle w:val="Testonotaapidipagina"/>
      </w:pPr>
      <w:r>
        <w:rPr>
          <w:rStyle w:val="Rimandonotaapidipagina"/>
        </w:rPr>
        <w:footnoteRef/>
      </w:r>
      <w:r>
        <w:t xml:space="preserve"> </w:t>
      </w:r>
      <w:r>
        <w:tab/>
        <w:t>Fison et HOWITT, Kamilaroi and Kurnai, p. 168; HOWITT, Further Notes on the Australian Class Systems, J.A.I., XVIII, p. 60.</w:t>
      </w:r>
    </w:p>
  </w:footnote>
  <w:footnote w:id="241">
    <w:p w:rsidR="009A6BD2" w:rsidRDefault="003E2D0F">
      <w:pPr>
        <w:pStyle w:val="Testonotaapidipagina"/>
      </w:pPr>
      <w:r>
        <w:rPr>
          <w:rStyle w:val="Rimandonotaapidipagina"/>
        </w:rPr>
        <w:footnoteRef/>
      </w:r>
      <w:r>
        <w:t xml:space="preserve"> </w:t>
      </w:r>
      <w:r>
        <w:tab/>
      </w:r>
      <w:r>
        <w:t>CURR, III, p. 461. Il s'agit de la tribu du Mont-Gambier.</w:t>
      </w:r>
    </w:p>
  </w:footnote>
  <w:footnote w:id="242">
    <w:p w:rsidR="009A6BD2" w:rsidRDefault="003E2D0F">
      <w:pPr>
        <w:pStyle w:val="Testonotaapidipagina"/>
      </w:pPr>
      <w:r>
        <w:rPr>
          <w:rStyle w:val="Rimandonotaapidipagina"/>
        </w:rPr>
        <w:footnoteRef/>
      </w:r>
      <w:r>
        <w:t xml:space="preserve"> </w:t>
      </w:r>
      <w:r>
        <w:tab/>
        <w:t>HOWITT, On some Australian Beliefs, J.A.I., XIII, p. 191, no 1.</w:t>
      </w:r>
    </w:p>
  </w:footnote>
  <w:footnote w:id="243">
    <w:p w:rsidR="009A6BD2" w:rsidRDefault="003E2D0F">
      <w:pPr>
        <w:pStyle w:val="Testonotaapidipagina"/>
      </w:pPr>
      <w:r>
        <w:rPr>
          <w:rStyle w:val="Rimandonotaapidipagina"/>
        </w:rPr>
        <w:footnoteRef/>
      </w:r>
      <w:r>
        <w:t xml:space="preserve"> </w:t>
      </w:r>
      <w:r>
        <w:tab/>
        <w:t>HOWITT, Notes on Australian Message Sticks, J.A.I., XVIII, p. 326; Further Notes, J.A.I., XVIII, p. 61, no 3.</w:t>
      </w:r>
    </w:p>
  </w:footnote>
  <w:footnote w:id="244">
    <w:p w:rsidR="009A6BD2" w:rsidRDefault="003E2D0F">
      <w:pPr>
        <w:pStyle w:val="Testonotaapidipagina"/>
      </w:pPr>
      <w:r>
        <w:rPr>
          <w:rStyle w:val="Rimandonotaapidipagina"/>
        </w:rPr>
        <w:footnoteRef/>
      </w:r>
      <w:r>
        <w:t xml:space="preserve"> </w:t>
      </w:r>
      <w:r>
        <w:tab/>
        <w:t>CURR, III, p. 2</w:t>
      </w:r>
      <w:r>
        <w:t>8.</w:t>
      </w:r>
    </w:p>
  </w:footnote>
  <w:footnote w:id="245">
    <w:p w:rsidR="009A6BD2" w:rsidRDefault="003E2D0F">
      <w:pPr>
        <w:pStyle w:val="Testonotaapidipagina"/>
      </w:pPr>
      <w:r>
        <w:rPr>
          <w:rStyle w:val="Rimandonotaapidipagina"/>
        </w:rPr>
        <w:footnoteRef/>
      </w:r>
      <w:r>
        <w:t xml:space="preserve"> </w:t>
      </w:r>
      <w:r>
        <w:tab/>
        <w:t>MATHEWS, Etnological Notes on the Aboriginal Tribes of N. S. Wales and Victoria, in Journ. and Proc. of the B. Society of N. S. Wales, XXXVIII, p. 294.</w:t>
      </w:r>
    </w:p>
  </w:footnote>
  <w:footnote w:id="246">
    <w:p w:rsidR="009A6BD2" w:rsidRDefault="003E2D0F">
      <w:pPr>
        <w:pStyle w:val="Testonotaapidipagina"/>
      </w:pPr>
      <w:r>
        <w:rPr>
          <w:rStyle w:val="Rimandonotaapidipagina"/>
        </w:rPr>
        <w:footnoteRef/>
      </w:r>
      <w:r>
        <w:t xml:space="preserve"> </w:t>
      </w:r>
      <w:r>
        <w:tab/>
        <w:t>Cf. CURR, III, p. 461, et HOWITT, Nat. Tr., p. 146. Les expressions de Tooman et de Wingo s'app</w:t>
      </w:r>
      <w:r>
        <w:t>liquent aux uns et aux autres.</w:t>
      </w:r>
    </w:p>
  </w:footnote>
  <w:footnote w:id="247">
    <w:p w:rsidR="009A6BD2" w:rsidRDefault="003E2D0F">
      <w:pPr>
        <w:pStyle w:val="Testonotaapidipagina"/>
      </w:pPr>
      <w:r>
        <w:rPr>
          <w:rStyle w:val="Rimandonotaapidipagina"/>
        </w:rPr>
        <w:footnoteRef/>
      </w:r>
      <w:r>
        <w:t xml:space="preserve"> </w:t>
      </w:r>
      <w:r>
        <w:tab/>
        <w:t>HOWITT, Nat. Tr., p. 123.</w:t>
      </w:r>
    </w:p>
  </w:footnote>
  <w:footnote w:id="248">
    <w:p w:rsidR="009A6BD2" w:rsidRDefault="003E2D0F">
      <w:pPr>
        <w:pStyle w:val="Testonotaapidipagina"/>
      </w:pPr>
      <w:r>
        <w:rPr>
          <w:rStyle w:val="Rimandonotaapidipagina"/>
        </w:rPr>
        <w:footnoteRef/>
      </w:r>
      <w:r>
        <w:t xml:space="preserve"> </w:t>
      </w:r>
      <w:r>
        <w:tab/>
        <w:t>SPENCER et GILLEN, Nat. Tr., p. 447 et suiv. ; STREHLOW, III, p. XII et suiv.</w:t>
      </w:r>
    </w:p>
  </w:footnote>
  <w:footnote w:id="249">
    <w:p w:rsidR="009A6BD2" w:rsidRDefault="003E2D0F">
      <w:pPr>
        <w:pStyle w:val="Testonotaapidipagina"/>
      </w:pPr>
      <w:r>
        <w:rPr>
          <w:rStyle w:val="Rimandonotaapidipagina"/>
        </w:rPr>
        <w:footnoteRef/>
      </w:r>
      <w:r>
        <w:t xml:space="preserve"> </w:t>
      </w:r>
      <w:r>
        <w:tab/>
        <w:t>FISON et HOWITT, Kamilaroi and Kurnai, p. 169.</w:t>
      </w:r>
    </w:p>
  </w:footnote>
  <w:footnote w:id="250">
    <w:p w:rsidR="009A6BD2" w:rsidRDefault="003E2D0F">
      <w:pPr>
        <w:pStyle w:val="Testonotaapidipagina"/>
      </w:pPr>
      <w:r>
        <w:rPr>
          <w:rStyle w:val="Rimandonotaapidipagina"/>
        </w:rPr>
        <w:footnoteRef/>
      </w:r>
      <w:r>
        <w:t xml:space="preserve"> </w:t>
      </w:r>
      <w:r>
        <w:tab/>
        <w:t>CURR, III, p. 462.</w:t>
      </w:r>
    </w:p>
  </w:footnote>
  <w:footnote w:id="251">
    <w:p w:rsidR="009A6BD2" w:rsidRDefault="003E2D0F">
      <w:pPr>
        <w:pStyle w:val="Testonotaapidipagina"/>
      </w:pPr>
      <w:r>
        <w:rPr>
          <w:rStyle w:val="Rimandonotaapidipagina"/>
        </w:rPr>
        <w:footnoteRef/>
      </w:r>
      <w:r>
        <w:t xml:space="preserve"> </w:t>
      </w:r>
      <w:r>
        <w:tab/>
        <w:t>Mrs. MARKER, The Euahlayi Tribe, p. 20.</w:t>
      </w:r>
    </w:p>
  </w:footnote>
  <w:footnote w:id="252">
    <w:p w:rsidR="009A6BD2" w:rsidRDefault="003E2D0F">
      <w:pPr>
        <w:pStyle w:val="Testonotaapidipagina"/>
      </w:pPr>
      <w:r>
        <w:rPr>
          <w:rStyle w:val="Rimandonotaapidipagina"/>
        </w:rPr>
        <w:footnoteRef/>
      </w:r>
      <w:r>
        <w:t xml:space="preserve"> </w:t>
      </w:r>
      <w:r>
        <w:tab/>
        <w:t>SPENCER et GILLEN, North. Tr., p. 151; Nat, Tr., p. 447; STREHLOW, III, p. XII.</w:t>
      </w:r>
    </w:p>
  </w:footnote>
  <w:footnote w:id="253">
    <w:p w:rsidR="009A6BD2" w:rsidRDefault="003E2D0F">
      <w:pPr>
        <w:pStyle w:val="Testonotaapidipagina"/>
      </w:pPr>
      <w:r>
        <w:rPr>
          <w:rStyle w:val="Rimandonotaapidipagina"/>
        </w:rPr>
        <w:footnoteRef/>
      </w:r>
      <w:r>
        <w:t xml:space="preserve"> </w:t>
      </w:r>
      <w:r>
        <w:tab/>
        <w:t>SPENCER et GILLEN, Nat. Tr., p. 449.</w:t>
      </w:r>
    </w:p>
  </w:footnote>
  <w:footnote w:id="254">
    <w:p w:rsidR="009A6BD2" w:rsidRDefault="003E2D0F">
      <w:pPr>
        <w:pStyle w:val="Testonotaapidipagina"/>
      </w:pPr>
      <w:r>
        <w:rPr>
          <w:rStyle w:val="Rimandonotaapidipagina"/>
        </w:rPr>
        <w:footnoteRef/>
      </w:r>
      <w:r>
        <w:t xml:space="preserve"> </w:t>
      </w:r>
      <w:r>
        <w:tab/>
        <w:t>Il y a cependant certaines tribus du Queensland où les choses ainsi affectées à un groupe social ne sont pas interdites aux membre</w:t>
      </w:r>
      <w:r>
        <w:t xml:space="preserve">s de ce groupe: telle est notamment celle des Wakelbura. On se rappelle que, dans cette société, ce sont les classes matrimoniales qui servent de cadres à la classification (v. plus haut, p. 204). Or, non seulement les gens d'une classe peuvent manger des </w:t>
      </w:r>
      <w:r>
        <w:t>animaux attribués à cette classe, mais ils ne peuvent en manger d'autres. Toute autre alimentation leur est interdite (HOWITT, Nat. Tr., p. 113; Curr, III, p. 27).</w:t>
      </w:r>
    </w:p>
    <w:p w:rsidR="009A6BD2" w:rsidRDefault="003E2D0F">
      <w:pPr>
        <w:pStyle w:val="Testonotaapidipagina"/>
        <w:ind w:firstLine="346"/>
      </w:pPr>
      <w:r>
        <w:t>Il faut pourtant se garder d'en conclure que ces animaux soient considérés comme profanes. O</w:t>
      </w:r>
      <w:r>
        <w:t>n remarquera, en effet, que l'individu n'a pas simplement la faculté d'en manger, mais qu'il y est obligatoirement tenu, puisqu'il lui est défendu de s'alimenter autrement. Or ce caractère impératif de la prescription est le signe certain que nous sommes e</w:t>
      </w:r>
      <w:r>
        <w:t>n présence de choses qui ont une nature religieuse. Seulement, la religiosité dont elles sont marquées a donné naissance à une obligation positive, et non à cette obligation négative qu'est un interdit. Peut-être même n'est-il pas impossible d'apercevoir c</w:t>
      </w:r>
      <w:r>
        <w:t xml:space="preserve">omment a pu se faire cette déviation. Nous avons vu plus haut (v. p. 198) que tout individu est censé avoir une sorte de droit de propriété sur son totem et, par suite, sur les choses qui en dépendent. Que, sous l'influence de circonstances spéciales, cet </w:t>
      </w:r>
      <w:r>
        <w:t>aspect de la relation totémique se soit développé, et l'on en sera venu tout naturellement à croire que les membres d'un clan pouvaient seuls disposer de leur totem et de tout ce qui lui est assimilé ; que les autres, au contraire, n'avaient pas le droit d</w:t>
      </w:r>
      <w:r>
        <w:t>'y toucher. Dans ces conditions, un clan ne pouvait se nourrir que des choses qui lui étaient affectées.</w:t>
      </w:r>
    </w:p>
  </w:footnote>
  <w:footnote w:id="255">
    <w:p w:rsidR="009A6BD2" w:rsidRDefault="003E2D0F">
      <w:pPr>
        <w:pStyle w:val="Testonotaapidipagina"/>
      </w:pPr>
      <w:r>
        <w:rPr>
          <w:rStyle w:val="Rimandonotaapidipagina"/>
        </w:rPr>
        <w:footnoteRef/>
      </w:r>
      <w:r>
        <w:t xml:space="preserve"> </w:t>
      </w:r>
      <w:r>
        <w:tab/>
        <w:t>Mrs. Parker se sert de l'expression de multiplex totems.</w:t>
      </w:r>
    </w:p>
  </w:footnote>
  <w:footnote w:id="256">
    <w:p w:rsidR="009A6BD2" w:rsidRDefault="003E2D0F">
      <w:pPr>
        <w:pStyle w:val="Testonotaapidipagina"/>
      </w:pPr>
      <w:r>
        <w:rPr>
          <w:rStyle w:val="Rimandonotaapidipagina"/>
        </w:rPr>
        <w:footnoteRef/>
      </w:r>
      <w:r>
        <w:t xml:space="preserve"> </w:t>
      </w:r>
      <w:r>
        <w:tab/>
        <w:t xml:space="preserve">V. comme exemples la tribu des Euahlayi dans le livre de Mrs PARKER (P. 15 et suiv.) et </w:t>
      </w:r>
      <w:r>
        <w:t>celle des Wotjobaluk (HOWITT, Nat. Tr., p. 121 et suiv.; cf. l'article de Mathews déjà cité).</w:t>
      </w:r>
    </w:p>
  </w:footnote>
  <w:footnote w:id="257">
    <w:p w:rsidR="009A6BD2" w:rsidRDefault="003E2D0F">
      <w:pPr>
        <w:pStyle w:val="Testonotaapidipagina"/>
      </w:pPr>
      <w:r>
        <w:rPr>
          <w:rStyle w:val="Rimandonotaapidipagina"/>
        </w:rPr>
        <w:footnoteRef/>
      </w:r>
      <w:r>
        <w:t xml:space="preserve"> </w:t>
      </w:r>
      <w:r>
        <w:tab/>
        <w:t>V. des exemples dans HOWITT, Nat. Tr., p. 122.</w:t>
      </w:r>
    </w:p>
  </w:footnote>
  <w:footnote w:id="258">
    <w:p w:rsidR="009A6BD2" w:rsidRDefault="003E2D0F">
      <w:pPr>
        <w:pStyle w:val="Testonotaapidipagina"/>
      </w:pPr>
      <w:r>
        <w:rPr>
          <w:rStyle w:val="Rimandonotaapidipagina"/>
        </w:rPr>
        <w:footnoteRef/>
      </w:r>
      <w:r>
        <w:t xml:space="preserve"> </w:t>
      </w:r>
      <w:r>
        <w:tab/>
        <w:t>V. De quelques formes primitives de classification, p. 28, no 2.</w:t>
      </w:r>
    </w:p>
  </w:footnote>
  <w:footnote w:id="259">
    <w:p w:rsidR="009A6BD2" w:rsidRDefault="003E2D0F">
      <w:pPr>
        <w:pStyle w:val="Testonotaapidipagina"/>
      </w:pPr>
      <w:r>
        <w:rPr>
          <w:rStyle w:val="Rimandonotaapidipagina"/>
        </w:rPr>
        <w:footnoteRef/>
      </w:r>
      <w:r>
        <w:t xml:space="preserve"> </w:t>
      </w:r>
      <w:r>
        <w:tab/>
        <w:t>STREHLOW, II, pp. 61-72.</w:t>
      </w:r>
    </w:p>
  </w:footnote>
  <w:footnote w:id="260">
    <w:p w:rsidR="009A6BD2" w:rsidRDefault="003E2D0F">
      <w:pPr>
        <w:pStyle w:val="Testonotaapidipagina"/>
      </w:pPr>
      <w:r>
        <w:rPr>
          <w:rStyle w:val="Rimandonotaapidipagina"/>
        </w:rPr>
        <w:footnoteRef/>
      </w:r>
      <w:r>
        <w:t xml:space="preserve"> </w:t>
      </w:r>
      <w:r>
        <w:tab/>
        <w:t xml:space="preserve">Nat. Tr., p. </w:t>
      </w:r>
      <w:r>
        <w:t>112.</w:t>
      </w:r>
    </w:p>
  </w:footnote>
  <w:footnote w:id="261">
    <w:p w:rsidR="009A6BD2" w:rsidRDefault="003E2D0F">
      <w:pPr>
        <w:pStyle w:val="Testonotaapidipagina"/>
      </w:pPr>
      <w:r>
        <w:rPr>
          <w:rStyle w:val="Rimandonotaapidipagina"/>
        </w:rPr>
        <w:footnoteRef/>
      </w:r>
      <w:r>
        <w:t xml:space="preserve"> </w:t>
      </w:r>
      <w:r>
        <w:tab/>
        <w:t>V. notamment Nat. Tr., p. 447, et North. Tr., p. 151.</w:t>
      </w:r>
    </w:p>
  </w:footnote>
  <w:footnote w:id="262">
    <w:p w:rsidR="009A6BD2" w:rsidRDefault="003E2D0F">
      <w:pPr>
        <w:pStyle w:val="Testonotaapidipagina"/>
      </w:pPr>
      <w:r>
        <w:rPr>
          <w:rStyle w:val="Rimandonotaapidipagina"/>
        </w:rPr>
        <w:footnoteRef/>
      </w:r>
      <w:r>
        <w:t xml:space="preserve"> </w:t>
      </w:r>
      <w:r>
        <w:tab/>
        <w:t>STREHLOW, III, p. xiii-xvii. il arrive que les mêmes totems secondaires sont rattachés simultanément à deux ou trois totems principaux. C'est, sans doute, que Strehlow n'a pu établir avec cer</w:t>
      </w:r>
      <w:r>
        <w:t>titude lequel de ces totems était véritablement le principal.</w:t>
      </w:r>
    </w:p>
    <w:p w:rsidR="009A6BD2" w:rsidRDefault="003E2D0F">
      <w:pPr>
        <w:pStyle w:val="Testonotaapidipagina"/>
        <w:ind w:firstLine="346"/>
      </w:pPr>
      <w:r>
        <w:t>Deux faits intéressants, qui ressortent de ce tableau, confirment certaines propositions que nous avons précédemment énoncées. D'abord, les totems principaux sont presque tous des animaux, à trè</w:t>
      </w:r>
      <w:r>
        <w:t>s peu d'exceptions près. Ensuite, les astres ne sont jamais que des totems secondaires ou associés. C'est une preuve nouvelle que ces derniers n'ont été que tardivement promus à la dignité de totems et que, primitivement, les totems principaux ont été de p</w:t>
      </w:r>
      <w:r>
        <w:t>référence empruntés au règne animal.</w:t>
      </w:r>
    </w:p>
  </w:footnote>
  <w:footnote w:id="263">
    <w:p w:rsidR="009A6BD2" w:rsidRDefault="003E2D0F">
      <w:pPr>
        <w:pStyle w:val="Testonotaapidipagina"/>
      </w:pPr>
      <w:r>
        <w:rPr>
          <w:rStyle w:val="Rimandonotaapidipagina"/>
        </w:rPr>
        <w:footnoteRef/>
      </w:r>
      <w:r>
        <w:t xml:space="preserve"> </w:t>
      </w:r>
      <w:r>
        <w:tab/>
        <w:t>Suivant le mythe, les totems associés auraient, pendant les temps fabuleux, servi à nourrir les gens du totem principal, ou quand ce sont des arbres, leur auraient prêté leur ombrage (STREHLOW, III, p. XII; SPENCER e</w:t>
      </w:r>
      <w:r>
        <w:t>t GILLEN, Nat. Tr., p. 403). Le fait que le totem associé passe pour avoir été consommé n'implique pas, d'ailleurs, qu'il soit considéré comme profane; car, à l'époque mythique, le totem principal lui-même était, croit-on, consommé par les ancêtres, fondat</w:t>
      </w:r>
      <w:r>
        <w:t>eurs du clan.</w:t>
      </w:r>
    </w:p>
  </w:footnote>
  <w:footnote w:id="264">
    <w:p w:rsidR="009A6BD2" w:rsidRDefault="003E2D0F">
      <w:pPr>
        <w:pStyle w:val="Testonotaapidipagina"/>
      </w:pPr>
      <w:r>
        <w:rPr>
          <w:rStyle w:val="Rimandonotaapidipagina"/>
        </w:rPr>
        <w:footnoteRef/>
      </w:r>
      <w:r>
        <w:t xml:space="preserve"> </w:t>
      </w:r>
      <w:r>
        <w:tab/>
        <w:t>Ainsi, dans le clan du Chat sauvage, les dessins gravés sur le churinga représente l'arbre à fleurs Hakea qui est aujourd'hui un totem distinct (SPENCER et GILLEN, Nat. Tr., pp. 147-148). STREHLOW (III, p. XII, no 4) dit que le fait est fr</w:t>
      </w:r>
      <w:r>
        <w:t>équent.</w:t>
      </w:r>
    </w:p>
  </w:footnote>
  <w:footnote w:id="265">
    <w:p w:rsidR="009A6BD2" w:rsidRDefault="003E2D0F">
      <w:pPr>
        <w:pStyle w:val="Testonotaapidipagina"/>
      </w:pPr>
      <w:r>
        <w:rPr>
          <w:rStyle w:val="Rimandonotaapidipagina"/>
        </w:rPr>
        <w:footnoteRef/>
      </w:r>
      <w:r>
        <w:t xml:space="preserve"> </w:t>
      </w:r>
      <w:r>
        <w:tab/>
        <w:t>SPENCER et GILLEN, North. Tr., p. 182; Nat. Tr., pp. 151 et 297.</w:t>
      </w:r>
    </w:p>
  </w:footnote>
  <w:footnote w:id="266">
    <w:p w:rsidR="009A6BD2" w:rsidRDefault="003E2D0F">
      <w:pPr>
        <w:pStyle w:val="Testonotaapidipagina"/>
      </w:pPr>
      <w:r>
        <w:rPr>
          <w:rStyle w:val="Rimandonotaapidipagina"/>
        </w:rPr>
        <w:footnoteRef/>
      </w:r>
      <w:r>
        <w:t xml:space="preserve"> </w:t>
      </w:r>
      <w:r>
        <w:tab/>
        <w:t>Nat. Tr., pp. 151 et 158.</w:t>
      </w:r>
    </w:p>
  </w:footnote>
  <w:footnote w:id="267">
    <w:p w:rsidR="009A6BD2" w:rsidRDefault="003E2D0F">
      <w:pPr>
        <w:pStyle w:val="Testonotaapidipagina"/>
      </w:pPr>
      <w:r>
        <w:rPr>
          <w:rStyle w:val="Rimandonotaapidipagina"/>
        </w:rPr>
        <w:footnoteRef/>
      </w:r>
      <w:r>
        <w:t xml:space="preserve"> </w:t>
      </w:r>
      <w:r>
        <w:tab/>
        <w:t>Ibid., pp. 447-449.</w:t>
      </w:r>
    </w:p>
  </w:footnote>
  <w:footnote w:id="268">
    <w:p w:rsidR="009A6BD2" w:rsidRDefault="003E2D0F">
      <w:pPr>
        <w:pStyle w:val="Testonotaapidipagina"/>
      </w:pPr>
      <w:r>
        <w:rPr>
          <w:rStyle w:val="Rimandonotaapidipagina"/>
        </w:rPr>
        <w:footnoteRef/>
      </w:r>
      <w:r>
        <w:t xml:space="preserve"> </w:t>
      </w:r>
      <w:r>
        <w:tab/>
        <w:t>C'est ainsi que SPENCER et GILLEN nous parlent du pigeon appelé Inturita tantôt comme d'un totem principal (Nul. Tr., p. 410)</w:t>
      </w:r>
      <w:r>
        <w:t>, tantôt comme d'un totem associé (ibid., p. 448).</w:t>
      </w:r>
    </w:p>
  </w:footnote>
  <w:footnote w:id="269">
    <w:p w:rsidR="009A6BD2" w:rsidRDefault="003E2D0F">
      <w:pPr>
        <w:pStyle w:val="Testonotaapidipagina"/>
      </w:pPr>
      <w:r>
        <w:rPr>
          <w:rStyle w:val="Rimandonotaapidipagina"/>
        </w:rPr>
        <w:footnoteRef/>
      </w:r>
      <w:r>
        <w:t xml:space="preserve"> </w:t>
      </w:r>
      <w:r>
        <w:tab/>
        <w:t>HOWITT, Burther notes, pp. 63-64.</w:t>
      </w:r>
    </w:p>
  </w:footnote>
  <w:footnote w:id="270">
    <w:p w:rsidR="009A6BD2" w:rsidRDefault="003E2D0F">
      <w:pPr>
        <w:pStyle w:val="Testonotaapidipagina"/>
      </w:pPr>
      <w:r>
        <w:rPr>
          <w:rStyle w:val="Rimandonotaapidipagina"/>
        </w:rPr>
        <w:footnoteRef/>
      </w:r>
      <w:r>
        <w:t xml:space="preserve"> </w:t>
      </w:r>
      <w:r>
        <w:tab/>
        <w:t>C'est ainsi que, très souvent, le clan a été confondu avec la tribu. Cette confusion, qui jette fréquemment du trouble sur les descriptions des ethnographes, a été n</w:t>
      </w:r>
      <w:r>
        <w:t>otamment commise par Curr (I, p. 61 et suiv.).</w:t>
      </w:r>
    </w:p>
  </w:footnote>
  <w:footnote w:id="271">
    <w:p w:rsidR="009A6BD2" w:rsidRDefault="003E2D0F">
      <w:pPr>
        <w:pStyle w:val="Testonotaapidipagina"/>
      </w:pPr>
      <w:r>
        <w:rPr>
          <w:rStyle w:val="Rimandonotaapidipagina"/>
        </w:rPr>
        <w:footnoteRef/>
      </w:r>
      <w:r>
        <w:t xml:space="preserve"> </w:t>
      </w:r>
      <w:r>
        <w:tab/>
        <w:t>C'est le cas notamment chez les Warramunga (North. Tr., p. 298).</w:t>
      </w:r>
    </w:p>
  </w:footnote>
  <w:footnote w:id="272">
    <w:p w:rsidR="009A6BD2" w:rsidRDefault="003E2D0F">
      <w:pPr>
        <w:pStyle w:val="Testonotaapidipagina"/>
      </w:pPr>
      <w:r>
        <w:rPr>
          <w:rStyle w:val="Rimandonotaapidipagina"/>
        </w:rPr>
        <w:footnoteRef/>
      </w:r>
      <w:r>
        <w:t xml:space="preserve"> </w:t>
      </w:r>
      <w:r>
        <w:tab/>
        <w:t>V. par exemple, SPENCER et GILLEN, Nat. Tr., p. 380 et passim.</w:t>
      </w:r>
    </w:p>
  </w:footnote>
  <w:footnote w:id="273">
    <w:p w:rsidR="009A6BD2" w:rsidRDefault="003E2D0F">
      <w:pPr>
        <w:pStyle w:val="Testonotaapidipagina"/>
      </w:pPr>
      <w:r>
        <w:rPr>
          <w:rStyle w:val="Rimandonotaapidipagina"/>
        </w:rPr>
        <w:footnoteRef/>
      </w:r>
      <w:r>
        <w:t xml:space="preserve"> </w:t>
      </w:r>
      <w:r>
        <w:tab/>
        <w:t>On pourrait même se demander s'il n'existe pas parfois des totems tribau</w:t>
      </w:r>
      <w:r>
        <w:t xml:space="preserve">x. C'est ainsi que, chez les Arunta, il y a un animal, le chat sauvage, qui sert de totem à un clan particulier, et qui, pourtant, est interdit à la tribu tout entière ; même les gens des autres clans ne peuvent en manger que très modérément (Nat. Tr., p. </w:t>
      </w:r>
      <w:r>
        <w:t>168). Mais nous croyons qu'il y aurait abus à parler en cette circonstance d'un totem tribal, car de ce que la libre consommation d'un animal est interdite, il ne suit pas que celui-ci soit un totem. D'autres causes peuvent donner naissance à l'interdictio</w:t>
      </w:r>
      <w:r>
        <w:t>n. Sans doute, l'unité religieuse de la tribu est réelle, mais c'est à l'aide d'autres symboles qu'elle s'affirme. Nous montrerons plus bas quels ils sont (liv. I, chap. IX).</w:t>
      </w:r>
    </w:p>
  </w:footnote>
  <w:footnote w:id="274">
    <w:p w:rsidR="009A6BD2" w:rsidRDefault="003E2D0F">
      <w:pPr>
        <w:pStyle w:val="Testonotaapidipagina"/>
      </w:pPr>
      <w:r>
        <w:rPr>
          <w:rStyle w:val="Rimandonotaapidipagina"/>
        </w:rPr>
        <w:footnoteRef/>
      </w:r>
      <w:r>
        <w:t xml:space="preserve"> </w:t>
      </w:r>
      <w:r>
        <w:tab/>
        <w:t>Les totems sont choses de la tribu en ce sens qu'elle est intéressée tout enti</w:t>
      </w:r>
      <w:r>
        <w:t>ère au culte que chaque clan doit à son totem.</w:t>
      </w:r>
    </w:p>
  </w:footnote>
  <w:footnote w:id="275">
    <w:p w:rsidR="009A6BD2" w:rsidRDefault="003E2D0F">
      <w:pPr>
        <w:pStyle w:val="Testonotaapidipagina"/>
      </w:pPr>
      <w:r>
        <w:rPr>
          <w:rStyle w:val="Rimandonotaapidipagina"/>
        </w:rPr>
        <w:footnoteRef/>
      </w:r>
      <w:r>
        <w:t xml:space="preserve"> </w:t>
      </w:r>
      <w:r>
        <w:tab/>
        <w:t>FRAZER a fait un relevé très complet des textes relatifs au totémisme individuel dans l'Amérique du Nord (Totemism and Exogamy, III, pp. 370-456).</w:t>
      </w:r>
    </w:p>
  </w:footnote>
  <w:footnote w:id="276">
    <w:p w:rsidR="009A6BD2" w:rsidRDefault="003E2D0F">
      <w:pPr>
        <w:pStyle w:val="Testonotaapidipagina"/>
      </w:pPr>
      <w:r>
        <w:rPr>
          <w:rStyle w:val="Rimandonotaapidipagina"/>
        </w:rPr>
        <w:footnoteRef/>
      </w:r>
      <w:r>
        <w:t xml:space="preserve"> </w:t>
      </w:r>
      <w:r>
        <w:tab/>
        <w:t>Par exemple, chez les Hurons, les Iroquois, les Algonkin</w:t>
      </w:r>
      <w:r>
        <w:t>s (CHARLEVOIX, Histoire de la Nouvelle France, VI, pp. 67-70; SAGARD, Le grand voyage au pays des Hurons, p. 160), chez les Indiens Thompson (TEIT, The Thompson Indians of British Columbia, p. 355).</w:t>
      </w:r>
    </w:p>
  </w:footnote>
  <w:footnote w:id="277">
    <w:p w:rsidR="009A6BD2" w:rsidRDefault="003E2D0F">
      <w:pPr>
        <w:pStyle w:val="Testonotaapidipagina"/>
      </w:pPr>
      <w:r>
        <w:rPr>
          <w:rStyle w:val="Rimandonotaapidipagina"/>
        </w:rPr>
        <w:footnoteRef/>
      </w:r>
      <w:r>
        <w:t xml:space="preserve"> </w:t>
      </w:r>
      <w:r>
        <w:tab/>
        <w:t>C'est le cas des Yuin (HOWITT, Nat. Tr., p. 133) ; des</w:t>
      </w:r>
      <w:r>
        <w:t xml:space="preserve"> Kurnai (ibid., p. 135); de plusieurs tribus du Queensland (ROTH, Superstition, Magie and Medicine, North Queensland Ethnography, Bulletin no 5, p. 19; HADDON, Head-hunters, p. 193) ; chez les Delaware (HECKEWELDER, An Account of the History... of the Indi</w:t>
      </w:r>
      <w:r>
        <w:t>an Nations, p. 238) ; chez les Indiens Thompsom (TEIT, Op. cit., p. 355) ; chez les Salish Statlumh (Hill TOUT, Rep. of the Ethnol. of the Statlumh, J.A.I., XXXV, p. 147 et suiv.).</w:t>
      </w:r>
    </w:p>
  </w:footnote>
  <w:footnote w:id="278">
    <w:p w:rsidR="009A6BD2" w:rsidRDefault="003E2D0F">
      <w:pPr>
        <w:pStyle w:val="Testonotaapidipagina"/>
      </w:pPr>
      <w:r>
        <w:rPr>
          <w:rStyle w:val="Rimandonotaapidipagina"/>
        </w:rPr>
        <w:footnoteRef/>
      </w:r>
      <w:r>
        <w:t xml:space="preserve"> </w:t>
      </w:r>
      <w:r>
        <w:tab/>
        <w:t>Hill TOUT, loc. cit., p. 154.</w:t>
      </w:r>
    </w:p>
  </w:footnote>
  <w:footnote w:id="279">
    <w:p w:rsidR="009A6BD2" w:rsidRDefault="003E2D0F">
      <w:pPr>
        <w:pStyle w:val="Testonotaapidipagina"/>
      </w:pPr>
      <w:r>
        <w:rPr>
          <w:rStyle w:val="Rimandonotaapidipagina"/>
        </w:rPr>
        <w:footnoteRef/>
      </w:r>
      <w:r>
        <w:t xml:space="preserve"> </w:t>
      </w:r>
      <w:r>
        <w:tab/>
        <w:t>CATLIN, Manners and Customs, etc., Lond</w:t>
      </w:r>
      <w:r>
        <w:t>res, 1876, I, p, 36.</w:t>
      </w:r>
    </w:p>
  </w:footnote>
  <w:footnote w:id="280">
    <w:p w:rsidR="009A6BD2" w:rsidRDefault="003E2D0F">
      <w:pPr>
        <w:pStyle w:val="Testonotaapidipagina"/>
      </w:pPr>
      <w:r>
        <w:rPr>
          <w:rStyle w:val="Rimandonotaapidipagina"/>
        </w:rPr>
        <w:footnoteRef/>
      </w:r>
      <w:r>
        <w:t xml:space="preserve"> </w:t>
      </w:r>
      <w:r>
        <w:tab/>
        <w:t>Lettres édifiantes et curieuses, nouv. éd., VI, p. 172 et suiv.</w:t>
      </w:r>
    </w:p>
  </w:footnote>
  <w:footnote w:id="281">
    <w:p w:rsidR="009A6BD2" w:rsidRDefault="003E2D0F">
      <w:pPr>
        <w:pStyle w:val="Testonotaapidipagina"/>
      </w:pPr>
      <w:r>
        <w:rPr>
          <w:rStyle w:val="Rimandonotaapidipagina"/>
        </w:rPr>
        <w:footnoteRef/>
      </w:r>
      <w:r>
        <w:t xml:space="preserve"> </w:t>
      </w:r>
      <w:r>
        <w:tab/>
        <w:t>CHARLEVOIX, Op. cit., VI, p. 69.</w:t>
      </w:r>
    </w:p>
  </w:footnote>
  <w:footnote w:id="282">
    <w:p w:rsidR="009A6BD2" w:rsidRDefault="003E2D0F">
      <w:pPr>
        <w:pStyle w:val="Testonotaapidipagina"/>
      </w:pPr>
      <w:r>
        <w:rPr>
          <w:rStyle w:val="Rimandonotaapidipagina"/>
        </w:rPr>
        <w:footnoteRef/>
      </w:r>
      <w:r>
        <w:t xml:space="preserve"> </w:t>
      </w:r>
      <w:r>
        <w:tab/>
        <w:t>DORSEY, Siouan Cults, Xlth Rep., p. 443.</w:t>
      </w:r>
    </w:p>
  </w:footnote>
  <w:footnote w:id="283">
    <w:p w:rsidR="009A6BD2" w:rsidRDefault="003E2D0F">
      <w:pPr>
        <w:pStyle w:val="Testonotaapidipagina"/>
      </w:pPr>
      <w:r>
        <w:rPr>
          <w:rStyle w:val="Rimandonotaapidipagina"/>
        </w:rPr>
        <w:footnoteRef/>
      </w:r>
      <w:r>
        <w:t xml:space="preserve"> </w:t>
      </w:r>
      <w:r>
        <w:tab/>
        <w:t>BOAS, Kwakiutl, p. 323.</w:t>
      </w:r>
    </w:p>
  </w:footnote>
  <w:footnote w:id="284">
    <w:p w:rsidR="009A6BD2" w:rsidRDefault="003E2D0F">
      <w:pPr>
        <w:pStyle w:val="Testonotaapidipagina"/>
      </w:pPr>
      <w:r>
        <w:rPr>
          <w:rStyle w:val="Rimandonotaapidipagina"/>
        </w:rPr>
        <w:footnoteRef/>
      </w:r>
      <w:r>
        <w:t xml:space="preserve"> </w:t>
      </w:r>
      <w:r>
        <w:tab/>
        <w:t>Hill TOUT, loc. cit., p. 154.</w:t>
      </w:r>
    </w:p>
  </w:footnote>
  <w:footnote w:id="285">
    <w:p w:rsidR="009A6BD2" w:rsidRDefault="003E2D0F">
      <w:pPr>
        <w:pStyle w:val="Testonotaapidipagina"/>
      </w:pPr>
      <w:r>
        <w:rPr>
          <w:rStyle w:val="Rimandonotaapidipagina"/>
        </w:rPr>
        <w:footnoteRef/>
      </w:r>
      <w:r>
        <w:t xml:space="preserve"> </w:t>
      </w:r>
      <w:r>
        <w:tab/>
        <w:t>BOAS, Kwakiutl, p. 323.</w:t>
      </w:r>
    </w:p>
  </w:footnote>
  <w:footnote w:id="286">
    <w:p w:rsidR="009A6BD2" w:rsidRDefault="003E2D0F">
      <w:pPr>
        <w:pStyle w:val="Testonotaapidipagina"/>
      </w:pPr>
      <w:r>
        <w:rPr>
          <w:rStyle w:val="Rimandonotaapidipagina"/>
        </w:rPr>
        <w:footnoteRef/>
      </w:r>
      <w:r>
        <w:t xml:space="preserve"> </w:t>
      </w:r>
      <w:r>
        <w:tab/>
        <w:t>Miss FLETCHER, The Import of the Totem, a Study from the Omaha Tribe (Smithsonian Rep. for 1897, p. 583). - On trouvera des faits similaires dans TEIT, op, cit., pp. 354, 356; Peter JONES, History of the Ojibway Indians, p. 87.</w:t>
      </w:r>
    </w:p>
  </w:footnote>
  <w:footnote w:id="287">
    <w:p w:rsidR="009A6BD2" w:rsidRDefault="003E2D0F">
      <w:pPr>
        <w:pStyle w:val="Testonotaapidipagina"/>
      </w:pPr>
      <w:r>
        <w:rPr>
          <w:rStyle w:val="Rimandonotaapidipagina"/>
        </w:rPr>
        <w:footnoteRef/>
      </w:r>
      <w:r>
        <w:t xml:space="preserve"> </w:t>
      </w:r>
      <w:r>
        <w:tab/>
        <w:t>C'est le cas, par exemp</w:t>
      </w:r>
      <w:r>
        <w:t>le, du chien chez les Salish Statlumh à cause de l'état de servitude où il vit (Hill TOUT, loc. cit., p. 153).</w:t>
      </w:r>
    </w:p>
  </w:footnote>
  <w:footnote w:id="288">
    <w:p w:rsidR="009A6BD2" w:rsidRDefault="003E2D0F">
      <w:pPr>
        <w:pStyle w:val="Testonotaapidipagina"/>
      </w:pPr>
      <w:r>
        <w:rPr>
          <w:rStyle w:val="Rimandonotaapidipagina"/>
        </w:rPr>
        <w:footnoteRef/>
      </w:r>
      <w:r>
        <w:t xml:space="preserve"> </w:t>
      </w:r>
      <w:r>
        <w:tab/>
        <w:t>Langloh PARKER, Euahlayi, p. 21.</w:t>
      </w:r>
    </w:p>
  </w:footnote>
  <w:footnote w:id="289">
    <w:p w:rsidR="009A6BD2" w:rsidRDefault="003E2D0F">
      <w:pPr>
        <w:pStyle w:val="Testonotaapidipagina"/>
      </w:pPr>
      <w:r>
        <w:rPr>
          <w:rStyle w:val="Rimandonotaapidipagina"/>
        </w:rPr>
        <w:footnoteRef/>
      </w:r>
      <w:r>
        <w:t xml:space="preserve"> </w:t>
      </w:r>
      <w:r>
        <w:tab/>
        <w:t xml:space="preserve">« L'esprit d'un homme, dit Mrs PARKER (ibid.), est dans son Yunbeai (totem individuel) et son Yunbeai est </w:t>
      </w:r>
      <w:r>
        <w:t>en lui. »</w:t>
      </w:r>
    </w:p>
  </w:footnote>
  <w:footnote w:id="290">
    <w:p w:rsidR="009A6BD2" w:rsidRDefault="003E2D0F">
      <w:pPr>
        <w:pStyle w:val="Testonotaapidipagina"/>
      </w:pPr>
      <w:r>
        <w:rPr>
          <w:rStyle w:val="Rimandonotaapidipagina"/>
        </w:rPr>
        <w:footnoteRef/>
      </w:r>
      <w:r>
        <w:t xml:space="preserve"> </w:t>
      </w:r>
      <w:r>
        <w:tab/>
        <w:t>Langloh PARKER, op. cit., p. 20. il en est de même chez certains Salish (Hill TOUT, Ethn. Rep. on the Stseelis and Skaulits Tribes, J.A.I., XXXIV, p. 324). Le fait est général chez les Indiens de l'Amérique centrale (BRINTON, Nagualism, a Stud</w:t>
      </w:r>
      <w:r>
        <w:t>y in Native American Folklore and History, in Proceedings of the American Philosophical Society, XXXIII, p. 32).</w:t>
      </w:r>
    </w:p>
  </w:footnote>
  <w:footnote w:id="291">
    <w:p w:rsidR="009A6BD2" w:rsidRDefault="003E2D0F">
      <w:pPr>
        <w:pStyle w:val="Testonotaapidipagina"/>
      </w:pPr>
      <w:r>
        <w:rPr>
          <w:rStyle w:val="Rimandonotaapidipagina"/>
        </w:rPr>
        <w:footnoteRef/>
      </w:r>
      <w:r>
        <w:t xml:space="preserve"> </w:t>
      </w:r>
      <w:r>
        <w:tab/>
        <w:t>PARKER, ibid. ; HOWITT, Nat. Tr., p. 147; DORSEY, Siouan Cults, XIth Rep., p. 443. Frazer a fait, d'ailleurs, le relevé des cas américains e</w:t>
      </w:r>
      <w:r>
        <w:t xml:space="preserve">t a établi la généralité de l'interdiction (Totemism a. Exogamy, III, p. 450). Nous avons vu, il est vrai, que, en Amérique, l'individu devait commencer par tuer l'animal dont la peau servait à faire ce que les ethnographes appellent un sac-médecine. Mais </w:t>
      </w:r>
      <w:r>
        <w:t>cet usage n'a été observé que dans cinq tribus ; c'est probablement une forme altérée et tardive de l'institution.</w:t>
      </w:r>
    </w:p>
  </w:footnote>
  <w:footnote w:id="292">
    <w:p w:rsidR="009A6BD2" w:rsidRDefault="003E2D0F">
      <w:pPr>
        <w:pStyle w:val="Testonotaapidipagina"/>
      </w:pPr>
      <w:r>
        <w:rPr>
          <w:rStyle w:val="Rimandonotaapidipagina"/>
        </w:rPr>
        <w:footnoteRef/>
      </w:r>
      <w:r>
        <w:t xml:space="preserve"> </w:t>
      </w:r>
      <w:r>
        <w:tab/>
        <w:t>HOWITT, Nat. Tr., pp. 135, 147, 387 ; Austral. Medicine Men, J.A.I., XVI, p. 34; TEIT, The Shuswap, p. 607.</w:t>
      </w:r>
    </w:p>
  </w:footnote>
  <w:footnote w:id="293">
    <w:p w:rsidR="009A6BD2" w:rsidRDefault="003E2D0F">
      <w:pPr>
        <w:pStyle w:val="Testonotaapidipagina"/>
      </w:pPr>
      <w:r>
        <w:rPr>
          <w:rStyle w:val="Rimandonotaapidipagina"/>
        </w:rPr>
        <w:footnoteRef/>
      </w:r>
      <w:r>
        <w:t xml:space="preserve"> </w:t>
      </w:r>
      <w:r>
        <w:tab/>
        <w:t xml:space="preserve">MEYER, Manners and Customs </w:t>
      </w:r>
      <w:r>
        <w:t>of the Aborigines of the Encounter Bay Tribe, in WOODS, p. 197.</w:t>
      </w:r>
    </w:p>
  </w:footnote>
  <w:footnote w:id="294">
    <w:p w:rsidR="009A6BD2" w:rsidRDefault="003E2D0F">
      <w:pPr>
        <w:pStyle w:val="Testonotaapidipagina"/>
      </w:pPr>
      <w:r>
        <w:rPr>
          <w:rStyle w:val="Rimandonotaapidipagina"/>
        </w:rPr>
        <w:footnoteRef/>
      </w:r>
      <w:r>
        <w:t xml:space="preserve"> </w:t>
      </w:r>
      <w:r>
        <w:tab/>
        <w:t>BOAS, VIth Rep. on the North-West Tribes of Canada, p. 93 ; TEIT, The Thompson Indians, p. 336; BOAS, Kwakiutl, p. 394.</w:t>
      </w:r>
    </w:p>
  </w:footnote>
  <w:footnote w:id="295">
    <w:p w:rsidR="009A6BD2" w:rsidRDefault="003E2D0F">
      <w:pPr>
        <w:pStyle w:val="Testonotaapidipagina"/>
      </w:pPr>
      <w:r>
        <w:rPr>
          <w:rStyle w:val="Rimandonotaapidipagina"/>
        </w:rPr>
        <w:footnoteRef/>
      </w:r>
      <w:r>
        <w:t xml:space="preserve"> </w:t>
      </w:r>
      <w:r>
        <w:tab/>
        <w:t>On trouvera des faits dans Hill TOUT, Rep. of the Ethnol. of the S</w:t>
      </w:r>
      <w:r>
        <w:t>tatlumh, J.A.I., XXXV, p. 144, 145. Cf. Langloh PARKER, Op. cit., p. 29.</w:t>
      </w:r>
    </w:p>
  </w:footnote>
  <w:footnote w:id="296">
    <w:p w:rsidR="009A6BD2" w:rsidRDefault="003E2D0F">
      <w:pPr>
        <w:pStyle w:val="Testonotaapidipagina"/>
      </w:pPr>
      <w:r>
        <w:rPr>
          <w:rStyle w:val="Rimandonotaapidipagina"/>
        </w:rPr>
        <w:footnoteRef/>
      </w:r>
      <w:r>
        <w:t xml:space="preserve"> </w:t>
      </w:r>
      <w:r>
        <w:tab/>
        <w:t>D'après un renseignement donné par Howitt dans une lettre personnelle à FRAZER (Totemism and Exogamy, 1, p. 495 et no 2).</w:t>
      </w:r>
    </w:p>
  </w:footnote>
  <w:footnote w:id="297">
    <w:p w:rsidR="009A6BD2" w:rsidRDefault="003E2D0F">
      <w:pPr>
        <w:pStyle w:val="Testonotaapidipagina"/>
      </w:pPr>
      <w:r>
        <w:rPr>
          <w:rStyle w:val="Rimandonotaapidipagina"/>
        </w:rPr>
        <w:footnoteRef/>
      </w:r>
      <w:r>
        <w:t xml:space="preserve"> </w:t>
      </w:r>
      <w:r>
        <w:tab/>
        <w:t>Hill TOUT, Ethnol. Hep. on the Stseelis and Skaulits Tr</w:t>
      </w:r>
      <w:r>
        <w:t>ibes, J.A.I., XXXIV, p. 324.</w:t>
      </w:r>
    </w:p>
  </w:footnote>
  <w:footnote w:id="298">
    <w:p w:rsidR="009A6BD2" w:rsidRDefault="003E2D0F">
      <w:pPr>
        <w:pStyle w:val="Testonotaapidipagina"/>
      </w:pPr>
      <w:r>
        <w:rPr>
          <w:rStyle w:val="Rimandonotaapidipagina"/>
        </w:rPr>
        <w:footnoteRef/>
      </w:r>
      <w:r>
        <w:t xml:space="preserve"> </w:t>
      </w:r>
      <w:r>
        <w:tab/>
        <w:t>HOWITT, Australian Medicine Men, J.A.I., XVI, p. 34; LAFITAU, Moeurs des Sauvages américains, I, p. 370; CHARLEVOIX, Histoire de la Nouvelle France, VI, p. 68. Il en est de même de l'aloi et du tamaniu, à Mota (CODRINGTON, T</w:t>
      </w:r>
      <w:r>
        <w:t>he Melanesians, pp. 250-251).</w:t>
      </w:r>
    </w:p>
  </w:footnote>
  <w:footnote w:id="299">
    <w:p w:rsidR="009A6BD2" w:rsidRDefault="003E2D0F">
      <w:pPr>
        <w:pStyle w:val="Testonotaapidipagina"/>
      </w:pPr>
      <w:r>
        <w:rPr>
          <w:rStyle w:val="Rimandonotaapidipagina"/>
        </w:rPr>
        <w:footnoteRef/>
      </w:r>
      <w:r>
        <w:t xml:space="preserve"> </w:t>
      </w:r>
      <w:r>
        <w:tab/>
        <w:t>Aussi, n'y a-t-il pas, entre ces animaux protecteurs et les fétiches la ligne de démarcation que FRAZER a cru pouvoir établir entre les uns et les autres. Suivant lui, le fétichisme commencerait quand l'être protecteur sera</w:t>
      </w:r>
      <w:r>
        <w:t>it un objet individuel et non une classe (Totemism, p. 56) ; or, dès l'Australie, il arrive qu'un animal déterminé joue ce rôle (v. HOWITT, Australian Medicine Men, J.A.I., XVI, p. 34). La vérité est que les notions de fétiche et de fétichisme ne correspon</w:t>
      </w:r>
      <w:r>
        <w:t>dent à rien de défini.</w:t>
      </w:r>
    </w:p>
  </w:footnote>
  <w:footnote w:id="300">
    <w:p w:rsidR="009A6BD2" w:rsidRDefault="003E2D0F">
      <w:pPr>
        <w:pStyle w:val="Testonotaapidipagina"/>
      </w:pPr>
      <w:r>
        <w:rPr>
          <w:rStyle w:val="Rimandonotaapidipagina"/>
        </w:rPr>
        <w:footnoteRef/>
      </w:r>
      <w:r>
        <w:t xml:space="preserve"> </w:t>
      </w:r>
      <w:r>
        <w:tab/>
        <w:t>BRINTON, Nagualism, Proceedings of the Amer. Philos. Society, XXXIII, p. 32.</w:t>
      </w:r>
    </w:p>
  </w:footnote>
  <w:footnote w:id="301">
    <w:p w:rsidR="009A6BD2" w:rsidRDefault="003E2D0F">
      <w:pPr>
        <w:pStyle w:val="Testonotaapidipagina"/>
      </w:pPr>
      <w:r>
        <w:rPr>
          <w:rStyle w:val="Rimandonotaapidipagina"/>
        </w:rPr>
        <w:footnoteRef/>
      </w:r>
      <w:r>
        <w:t xml:space="preserve"> </w:t>
      </w:r>
      <w:r>
        <w:tab/>
        <w:t>CHARLEVOIX, VI, p. 67.</w:t>
      </w:r>
    </w:p>
  </w:footnote>
  <w:footnote w:id="302">
    <w:p w:rsidR="009A6BD2" w:rsidRDefault="003E2D0F">
      <w:pPr>
        <w:pStyle w:val="Testonotaapidipagina"/>
      </w:pPr>
      <w:r>
        <w:rPr>
          <w:rStyle w:val="Rimandonotaapidipagina"/>
        </w:rPr>
        <w:footnoteRef/>
      </w:r>
      <w:r>
        <w:t xml:space="preserve"> </w:t>
      </w:r>
      <w:r>
        <w:tab/>
        <w:t>Hill TOUT, Rep. on the Ethnol. of the Statlumh of British Columbia, J.A.I., XXXV, p. 142.</w:t>
      </w:r>
    </w:p>
  </w:footnote>
  <w:footnote w:id="303">
    <w:p w:rsidR="009A6BD2" w:rsidRDefault="003E2D0F">
      <w:pPr>
        <w:pStyle w:val="Testonotaapidipagina"/>
      </w:pPr>
      <w:r>
        <w:rPr>
          <w:rStyle w:val="Rimandonotaapidipagina"/>
        </w:rPr>
        <w:footnoteRef/>
      </w:r>
      <w:r>
        <w:t xml:space="preserve"> </w:t>
      </w:r>
      <w:r>
        <w:tab/>
        <w:t xml:space="preserve">Hill TOUT, Ethnol. Rep. on the </w:t>
      </w:r>
      <w:r>
        <w:t>Stseelis a. Skaulits Tribes, J.A.I., XXXIV, p. 311 et suiv.</w:t>
      </w:r>
    </w:p>
  </w:footnote>
  <w:footnote w:id="304">
    <w:p w:rsidR="009A6BD2" w:rsidRDefault="003E2D0F">
      <w:pPr>
        <w:pStyle w:val="Testonotaapidipagina"/>
      </w:pPr>
      <w:r>
        <w:rPr>
          <w:rStyle w:val="Rimandonotaapidipagina"/>
        </w:rPr>
        <w:footnoteRef/>
      </w:r>
      <w:r>
        <w:t xml:space="preserve"> </w:t>
      </w:r>
      <w:r>
        <w:tab/>
        <w:t>HOWITT, Nat. Tr., p. 133.</w:t>
      </w:r>
    </w:p>
  </w:footnote>
  <w:footnote w:id="305">
    <w:p w:rsidR="009A6BD2" w:rsidRDefault="003E2D0F">
      <w:pPr>
        <w:pStyle w:val="Testonotaapidipagina"/>
      </w:pPr>
      <w:r>
        <w:rPr>
          <w:rStyle w:val="Rimandonotaapidipagina"/>
        </w:rPr>
        <w:footnoteRef/>
      </w:r>
      <w:r>
        <w:t xml:space="preserve"> </w:t>
      </w:r>
      <w:r>
        <w:tab/>
        <w:t>Langloh PARKER, Op. cit., p. 20.</w:t>
      </w:r>
    </w:p>
  </w:footnote>
  <w:footnote w:id="306">
    <w:p w:rsidR="009A6BD2" w:rsidRDefault="003E2D0F">
      <w:pPr>
        <w:pStyle w:val="Testonotaapidipagina"/>
      </w:pPr>
      <w:r>
        <w:rPr>
          <w:rStyle w:val="Rimandonotaapidipagina"/>
        </w:rPr>
        <w:footnoteRef/>
      </w:r>
      <w:r>
        <w:t xml:space="preserve"> </w:t>
      </w:r>
      <w:r>
        <w:tab/>
        <w:t>J. W. POWELL, An American View of Totemism, in Man, 1902, no 84; TYLOR, ibid., no 1. Andrew Lang a exprimé des idées analogues d</w:t>
      </w:r>
      <w:r>
        <w:t>ans Social Origins, p. 133-135. Enfin, FRAZER lui-même, revenant sur son opinion première, estime aujourd'hui que, jusqu'au jour où l'on connaîtra mieux le rapport qui existe entre les totems collectifs et les guardian spirits, il vaut mieux les désigner p</w:t>
      </w:r>
      <w:r>
        <w:t>ar des noms différents (Totemism and Exogamy, III, p. 456).</w:t>
      </w:r>
    </w:p>
  </w:footnote>
  <w:footnote w:id="307">
    <w:p w:rsidR="009A6BD2" w:rsidRDefault="003E2D0F">
      <w:pPr>
        <w:pStyle w:val="Testonotaapidipagina"/>
      </w:pPr>
      <w:r>
        <w:rPr>
          <w:rStyle w:val="Rimandonotaapidipagina"/>
        </w:rPr>
        <w:footnoteRef/>
      </w:r>
      <w:r>
        <w:t xml:space="preserve"> </w:t>
      </w:r>
      <w:r>
        <w:tab/>
        <w:t>C'est le cas en Australie chez les Yuin (HOWITT, Nat. Tr., p. 81), chez les Narrinyeri (MEYER, Manners a. Customs of the Aborigines of the Encounter Bay Tribe, in WOODS, p. 197 et suiv.).</w:t>
      </w:r>
    </w:p>
  </w:footnote>
  <w:footnote w:id="308">
    <w:p w:rsidR="009A6BD2" w:rsidRDefault="003E2D0F">
      <w:pPr>
        <w:pStyle w:val="Testonotaapidipagina"/>
      </w:pPr>
      <w:r>
        <w:rPr>
          <w:rStyle w:val="Rimandonotaapidipagina"/>
        </w:rPr>
        <w:footnoteRef/>
      </w:r>
      <w:r>
        <w:t xml:space="preserve"> </w:t>
      </w:r>
      <w:r>
        <w:tab/>
        <w:t xml:space="preserve">« </w:t>
      </w:r>
      <w:r>
        <w:t>Le totem ne ressemble pas plus au patron de l'individu, dit Tylor, qu'un écusson à une image de saint. » (loc. cit., p. 2). De même, si FRAZER se rallie aujourd'hui à l'opinion de Tylor, c'est qu'il refuse maintenant tout caractère religieux au totem de cl</w:t>
      </w:r>
      <w:r>
        <w:t>an (Totemism and Exogamy, III, p. 452).</w:t>
      </w:r>
    </w:p>
  </w:footnote>
  <w:footnote w:id="309">
    <w:p w:rsidR="009A6BD2" w:rsidRDefault="003E2D0F">
      <w:pPr>
        <w:pStyle w:val="Testonotaapidipagina"/>
      </w:pPr>
      <w:r>
        <w:rPr>
          <w:rStyle w:val="Rimandonotaapidipagina"/>
        </w:rPr>
        <w:footnoteRef/>
      </w:r>
      <w:r>
        <w:t xml:space="preserve"> </w:t>
      </w:r>
      <w:r>
        <w:tab/>
        <w:t>V. plus bas, même livre, chap. IX.</w:t>
      </w:r>
    </w:p>
  </w:footnote>
  <w:footnote w:id="310">
    <w:p w:rsidR="009A6BD2" w:rsidRDefault="003E2D0F">
      <w:pPr>
        <w:pStyle w:val="Testonotaapidipagina"/>
      </w:pPr>
      <w:r>
        <w:rPr>
          <w:rStyle w:val="Rimandonotaapidipagina"/>
        </w:rPr>
        <w:footnoteRef/>
      </w:r>
      <w:r>
        <w:t xml:space="preserve"> </w:t>
      </w:r>
      <w:r>
        <w:tab/>
        <w:t>Cependant, d'après un passage de MATHEWS, chez les Wotjobaluk, le totem individuel serait héréditaire. « Chaque individu, dit-il, réclame un animal, une plante ou un objet ina</w:t>
      </w:r>
      <w:r>
        <w:t>nimé comme son totem spécial et personnel, qu'il hérite de sa mère » (J. and Proc. of the R. Society of N. S. Wales, XXXVIII, p. 291). Mais il est évident que, si tous les enfants d'une même famille avaient pour totem personnel celui de leur mère, ni eux n</w:t>
      </w:r>
      <w:r>
        <w:t>i leur mère n'auraient, en réalité, de totems personnels. Mathews veut probablement dire que chaque individu choisit son totem individuel dans un cercle de choses affectées au clan de la mère. Nous verrons, en effet, que chaque clan a ses totems individuel</w:t>
      </w:r>
      <w:r>
        <w:t>s qui sont sa propriété exclusive, les membres des autres clans ne peuvent en disposer. En ce sens, la naissance détermine dans une certaine mesure, mais dans cette mesure seulement, le totem personnel.</w:t>
      </w:r>
    </w:p>
  </w:footnote>
  <w:footnote w:id="311">
    <w:p w:rsidR="009A6BD2" w:rsidRDefault="003E2D0F">
      <w:pPr>
        <w:pStyle w:val="Testonotaapidipagina"/>
      </w:pPr>
      <w:r>
        <w:rPr>
          <w:rStyle w:val="Rimandonotaapidipagina"/>
        </w:rPr>
        <w:footnoteRef/>
      </w:r>
      <w:r>
        <w:t xml:space="preserve"> </w:t>
      </w:r>
      <w:r>
        <w:tab/>
        <w:t>HECKEWELDER, An Account of the History, Manners an</w:t>
      </w:r>
      <w:r>
        <w:t>d Customs of the Indian Nations who once inhabited Pennsylvania, in Transactions of the Historical and Literary Committee of the American Philos. Society, I, p. 238.</w:t>
      </w:r>
    </w:p>
  </w:footnote>
  <w:footnote w:id="312">
    <w:p w:rsidR="009A6BD2" w:rsidRDefault="003E2D0F">
      <w:pPr>
        <w:pStyle w:val="Testonotaapidipagina"/>
      </w:pPr>
      <w:r>
        <w:rPr>
          <w:rStyle w:val="Rimandonotaapidipagina"/>
        </w:rPr>
        <w:footnoteRef/>
      </w:r>
      <w:r>
        <w:t xml:space="preserve"> </w:t>
      </w:r>
      <w:r>
        <w:tab/>
        <w:t>V. DORSEY, Siouan Cults, XIth Rep., p. 507 ; CATLIN, Op. cit., I, p. 37 ; Miss FLETCHER</w:t>
      </w:r>
      <w:r>
        <w:t>, The Import of the Totem, in Srnithsonian Rep. f., 1897, p. 580 ; TEIT, The Thompson Indians, pp. 317-320 ; Hill TOUT, J.A.I., XXXV, p. 144.</w:t>
      </w:r>
    </w:p>
  </w:footnote>
  <w:footnote w:id="313">
    <w:p w:rsidR="009A6BD2" w:rsidRDefault="003E2D0F">
      <w:pPr>
        <w:pStyle w:val="Testonotaapidipagina"/>
      </w:pPr>
      <w:r>
        <w:rPr>
          <w:rStyle w:val="Rimandonotaapidipagina"/>
        </w:rPr>
        <w:footnoteRef/>
      </w:r>
      <w:r>
        <w:t xml:space="preserve"> </w:t>
      </w:r>
      <w:r>
        <w:tab/>
        <w:t>On en rencontre pourtant quelques exemples. C'est en rêve que les magiciens Kurnai voient leurs totems personne</w:t>
      </w:r>
      <w:r>
        <w:t>ls se révéler à eux (HoWITT, Nat. Tr., p. 387 ; On Australian Medicine Men, in J.A.I., XVI, p. 34). Les gens du cap Bedfort croient que, quand un vieillard rêve d'une chose au cours de la nuit, cette chose est le totem personnel de la première personne qu'</w:t>
      </w:r>
      <w:r>
        <w:t xml:space="preserve">il rencontrera le lendemain (W. E. ROTH, Superstition, Magie a. Medicine, p. 19). Mais il est probable que l'on n'obtient par cette méthode que des totems personnels complémentaires et accessoires : car, dans cette même tribu, un autre procédé est employé </w:t>
      </w:r>
      <w:r>
        <w:t>au moment de l'initiation, comme nous le disons dans le texte.</w:t>
      </w:r>
    </w:p>
  </w:footnote>
  <w:footnote w:id="314">
    <w:p w:rsidR="009A6BD2" w:rsidRDefault="003E2D0F">
      <w:pPr>
        <w:pStyle w:val="Testonotaapidipagina"/>
      </w:pPr>
      <w:r>
        <w:rPr>
          <w:rStyle w:val="Rimandonotaapidipagina"/>
        </w:rPr>
        <w:footnoteRef/>
      </w:r>
      <w:r>
        <w:t xml:space="preserve"> </w:t>
      </w:r>
      <w:r>
        <w:tab/>
        <w:t>Dans certaines tribus dont parle ROTH (ibid.) ; dans certaines tribus voisines de Maryborough (HOWITT, Nat. Tr., p. 147).</w:t>
      </w:r>
    </w:p>
  </w:footnote>
  <w:footnote w:id="315">
    <w:p w:rsidR="009A6BD2" w:rsidRDefault="003E2D0F">
      <w:pPr>
        <w:pStyle w:val="Testonotaapidipagina"/>
      </w:pPr>
      <w:r>
        <w:rPr>
          <w:rStyle w:val="Rimandonotaapidipagina"/>
        </w:rPr>
        <w:footnoteRef/>
      </w:r>
      <w:r>
        <w:t xml:space="preserve"> </w:t>
      </w:r>
      <w:r>
        <w:tab/>
        <w:t>Chez les Wiradjuri (HOWITT, Nat, Tr., p. 406; On Australian Medic</w:t>
      </w:r>
      <w:r>
        <w:t>ine Men, in J.A.I, XVI, p. 50).</w:t>
      </w:r>
    </w:p>
  </w:footnote>
  <w:footnote w:id="316">
    <w:p w:rsidR="009A6BD2" w:rsidRDefault="003E2D0F">
      <w:pPr>
        <w:pStyle w:val="Testonotaapidipagina"/>
      </w:pPr>
      <w:r>
        <w:rPr>
          <w:rStyle w:val="Rimandonotaapidipagina"/>
        </w:rPr>
        <w:footnoteRef/>
      </w:r>
      <w:r>
        <w:t xml:space="preserve"> </w:t>
      </w:r>
      <w:r>
        <w:tab/>
        <w:t>ROTH, loc., cit.</w:t>
      </w:r>
    </w:p>
  </w:footnote>
  <w:footnote w:id="317">
    <w:p w:rsidR="009A6BD2" w:rsidRDefault="003E2D0F">
      <w:pPr>
        <w:pStyle w:val="Testonotaapidipagina"/>
      </w:pPr>
      <w:r>
        <w:rPr>
          <w:rStyle w:val="Rimandonotaapidipagina"/>
        </w:rPr>
        <w:footnoteRef/>
      </w:r>
      <w:r>
        <w:t xml:space="preserve"> </w:t>
      </w:r>
      <w:r>
        <w:tab/>
        <w:t>HADDON, Head Hunters, p. 193 et suiv.</w:t>
      </w:r>
    </w:p>
  </w:footnote>
  <w:footnote w:id="318">
    <w:p w:rsidR="009A6BD2" w:rsidRDefault="003E2D0F">
      <w:pPr>
        <w:pStyle w:val="Testonotaapidipagina"/>
      </w:pPr>
      <w:r>
        <w:rPr>
          <w:rStyle w:val="Rimandonotaapidipagina"/>
        </w:rPr>
        <w:footnoteRef/>
      </w:r>
      <w:r>
        <w:t xml:space="preserve"> </w:t>
      </w:r>
      <w:r>
        <w:tab/>
        <w:t>Chez les Wiradjuri (mêmes références que plus haut, p. 231, no 5).</w:t>
      </w:r>
    </w:p>
  </w:footnote>
  <w:footnote w:id="319">
    <w:p w:rsidR="009A6BD2" w:rsidRDefault="003E2D0F">
      <w:pPr>
        <w:pStyle w:val="Testonotaapidipagina"/>
      </w:pPr>
      <w:r>
        <w:rPr>
          <w:rStyle w:val="Rimandonotaapidipagina"/>
        </w:rPr>
        <w:footnoteRef/>
      </w:r>
      <w:r>
        <w:t xml:space="preserve"> </w:t>
      </w:r>
      <w:r>
        <w:tab/>
        <w:t>En général, il semble bien que ces transmissions de père à fils ne se produisent que quand</w:t>
      </w:r>
      <w:r>
        <w:t xml:space="preserve"> le père est un shamane ou un magicien. C'est le cas également chez les Indiens Thompson (TEIT, The Thompson Indians, p. 320) et chez les Wiradjuri dont il vient d'être question.</w:t>
      </w:r>
    </w:p>
  </w:footnote>
  <w:footnote w:id="320">
    <w:p w:rsidR="009A6BD2" w:rsidRDefault="003E2D0F">
      <w:pPr>
        <w:pStyle w:val="Testonotaapidipagina"/>
      </w:pPr>
      <w:r>
        <w:rPr>
          <w:rStyle w:val="Rimandonotaapidipagina"/>
        </w:rPr>
        <w:footnoteRef/>
      </w:r>
      <w:r>
        <w:t xml:space="preserve"> </w:t>
      </w:r>
      <w:r>
        <w:tab/>
        <w:t>Hill TOUT (J.A.I., XXXV, p. 146-147). Le rite essentiel est celui qui cons</w:t>
      </w:r>
      <w:r>
        <w:t>iste à souffler sur la peau: s'il n'était pas correctement exécuté, la transmission n'aurait pas lieu. C'est que, comme nous le verrons plus loin, le souffle, c'est l'âme. En soufflant tous deux sur la peau de l'animal, le magicien et le récipiendaire exha</w:t>
      </w:r>
      <w:r>
        <w:t>lent quelque chose de leurs âmes qui se pénètrent, en même temps, qu'elles communient avec la nature de l'animal, qui lui aussi, prend part à la cérémonie sous la forme de son symbole.</w:t>
      </w:r>
    </w:p>
  </w:footnote>
  <w:footnote w:id="321">
    <w:p w:rsidR="009A6BD2" w:rsidRDefault="003E2D0F">
      <w:pPr>
        <w:pStyle w:val="Testonotaapidipagina"/>
      </w:pPr>
      <w:r>
        <w:rPr>
          <w:rStyle w:val="Rimandonotaapidipagina"/>
        </w:rPr>
        <w:footnoteRef/>
      </w:r>
      <w:r>
        <w:t xml:space="preserve"> </w:t>
      </w:r>
      <w:r>
        <w:tab/>
        <w:t xml:space="preserve">N. W. THOMAS, Further Remarks on Mr. Hill Tout's Views on Totemism, </w:t>
      </w:r>
      <w:r>
        <w:t>in Man, 1904, p. 85.</w:t>
      </w:r>
    </w:p>
  </w:footnote>
  <w:footnote w:id="322">
    <w:p w:rsidR="009A6BD2" w:rsidRDefault="003E2D0F">
      <w:pPr>
        <w:pStyle w:val="Testonotaapidipagina"/>
      </w:pPr>
      <w:r>
        <w:rPr>
          <w:rStyle w:val="Rimandonotaapidipagina"/>
        </w:rPr>
        <w:footnoteRef/>
      </w:r>
      <w:r>
        <w:t xml:space="preserve"> </w:t>
      </w:r>
      <w:r>
        <w:tab/>
        <w:t>Langloh PARKER, Op. cit., pp. 20, 29.</w:t>
      </w:r>
    </w:p>
  </w:footnote>
  <w:footnote w:id="323">
    <w:p w:rsidR="009A6BD2" w:rsidRDefault="003E2D0F">
      <w:pPr>
        <w:pStyle w:val="Testonotaapidipagina"/>
      </w:pPr>
      <w:r>
        <w:rPr>
          <w:rStyle w:val="Rimandonotaapidipagina"/>
        </w:rPr>
        <w:footnoteRef/>
      </w:r>
      <w:r>
        <w:t xml:space="preserve"> </w:t>
      </w:r>
      <w:r>
        <w:tab/>
        <w:t>Hill TOUT, in J.A.I., XXXV, p. 143 et 146; ibid., XXXIV, p. 324.</w:t>
      </w:r>
    </w:p>
  </w:footnote>
  <w:footnote w:id="324">
    <w:p w:rsidR="009A6BD2" w:rsidRDefault="003E2D0F">
      <w:pPr>
        <w:pStyle w:val="Testonotaapidipagina"/>
      </w:pPr>
      <w:r>
        <w:rPr>
          <w:rStyle w:val="Rimandonotaapidipagina"/>
        </w:rPr>
        <w:footnoteRef/>
      </w:r>
      <w:r>
        <w:t xml:space="preserve"> </w:t>
      </w:r>
      <w:r>
        <w:tab/>
        <w:t>PARKER, Op. cil., p. 30; TEIT, The Thompson Indians, p. 320; Hill TOUT, in J.A.I., XXXV, p. 144.</w:t>
      </w:r>
    </w:p>
  </w:footnote>
  <w:footnote w:id="325">
    <w:p w:rsidR="009A6BD2" w:rsidRDefault="003E2D0F">
      <w:pPr>
        <w:pStyle w:val="Testonotaapidipagina"/>
      </w:pPr>
      <w:r>
        <w:rPr>
          <w:rStyle w:val="Rimandonotaapidipagina"/>
        </w:rPr>
        <w:footnoteRef/>
      </w:r>
      <w:r>
        <w:t xml:space="preserve"> </w:t>
      </w:r>
      <w:r>
        <w:tab/>
        <w:t>CHARLEVOIX, VI, p. 69.</w:t>
      </w:r>
    </w:p>
  </w:footnote>
  <w:footnote w:id="326">
    <w:p w:rsidR="009A6BD2" w:rsidRDefault="003E2D0F">
      <w:pPr>
        <w:pStyle w:val="Testonotaapidipagina"/>
      </w:pPr>
      <w:r>
        <w:rPr>
          <w:rStyle w:val="Rimandonotaapidipagina"/>
        </w:rPr>
        <w:footnoteRef/>
      </w:r>
      <w:r>
        <w:t xml:space="preserve"> </w:t>
      </w:r>
      <w:r>
        <w:tab/>
        <w:t>Hill Tout, ibid, p. 145.</w:t>
      </w:r>
    </w:p>
  </w:footnote>
  <w:footnote w:id="327">
    <w:p w:rsidR="009A6BD2" w:rsidRDefault="003E2D0F">
      <w:pPr>
        <w:pStyle w:val="Testonotaapidipagina"/>
      </w:pPr>
      <w:r>
        <w:rPr>
          <w:rStyle w:val="Rimandonotaapidipagina"/>
        </w:rPr>
        <w:footnoteRef/>
      </w:r>
      <w:r>
        <w:t xml:space="preserve"> </w:t>
      </w:r>
      <w:r>
        <w:tab/>
        <w:t>Ainsi, à la naissance d'un enfant, on plante un arbre que l'on entoure de soins pieux ; car on croit que son sort et celui de l'enfant sont solidaires. FRAZER, dans son Golden Bough, a rapporté nombre d'usages ou de croyances</w:t>
      </w:r>
      <w:r>
        <w:t xml:space="preserve"> qui traduisent différemment la même idée (cf. HARTLAND, Legend of Perseus, II, pp. 1-55).</w:t>
      </w:r>
    </w:p>
  </w:footnote>
  <w:footnote w:id="328">
    <w:p w:rsidR="009A6BD2" w:rsidRDefault="003E2D0F">
      <w:pPr>
        <w:pStyle w:val="Testonotaapidipagina"/>
      </w:pPr>
      <w:r>
        <w:rPr>
          <w:rStyle w:val="Rimandonotaapidipagina"/>
        </w:rPr>
        <w:footnoteRef/>
      </w:r>
      <w:r>
        <w:t xml:space="preserve"> </w:t>
      </w:r>
      <w:r>
        <w:tab/>
        <w:t>HOWITT, Nat. Tr., p. 148 et suiv.; FISON et HOWITT, Kamilaroi and Kurnai, p. 194,1201 et suiv.; DAWSON, Australian Aborigines, p. 52. PETRIE le signale aussi dans</w:t>
      </w:r>
      <w:r>
        <w:t xml:space="preserve"> le Queensland (Tom Petries Reminiscences of Early Queensland, pp. 62 et 118).</w:t>
      </w:r>
    </w:p>
  </w:footnote>
  <w:footnote w:id="329">
    <w:p w:rsidR="009A6BD2" w:rsidRDefault="003E2D0F">
      <w:pPr>
        <w:pStyle w:val="Testonotaapidipagina"/>
      </w:pPr>
      <w:r>
        <w:rPr>
          <w:rStyle w:val="Rimandonotaapidipagina"/>
        </w:rPr>
        <w:footnoteRef/>
      </w:r>
      <w:r>
        <w:t xml:space="preserve"> </w:t>
      </w:r>
      <w:r>
        <w:tab/>
        <w:t>Journal a. Proceed. of the R. Society of N. S. Wales, XXXVIII, p. 339. Faut-il voir une trace de totémisme sexuel dans l'usage suivant des Warramunga ? Avant d'ensevelir le m</w:t>
      </w:r>
      <w:r>
        <w:t>ort, on garde un os du bras. Si c'est celui d'une femme, on ajoute à l'écorce dans laquelle il est enveloppé des plumes d'émou; s'il s'agit d'un homme, des plumes de hibou (North. Tr., p. 169).</w:t>
      </w:r>
    </w:p>
  </w:footnote>
  <w:footnote w:id="330">
    <w:p w:rsidR="009A6BD2" w:rsidRDefault="003E2D0F">
      <w:pPr>
        <w:pStyle w:val="Testonotaapidipagina"/>
      </w:pPr>
      <w:r>
        <w:rPr>
          <w:rStyle w:val="Rimandonotaapidipagina"/>
        </w:rPr>
        <w:footnoteRef/>
      </w:r>
      <w:r>
        <w:t xml:space="preserve"> </w:t>
      </w:r>
      <w:r>
        <w:tab/>
        <w:t>On cite même un cas où chaque groupe sexuel aurait deux tot</w:t>
      </w:r>
      <w:r>
        <w:t>ems sexuels; ainsi les Wurunjerri cumuleraient les totems sexuels des Kurnai (émou-roitelet et superbe fauvette) avec ceux des Wotjobaluk (chauve-souris et hulotte nightjar). V. HOWITT, Nat. Tr., p. 150.</w:t>
      </w:r>
    </w:p>
  </w:footnote>
  <w:footnote w:id="331">
    <w:p w:rsidR="009A6BD2" w:rsidRDefault="003E2D0F">
      <w:pPr>
        <w:pStyle w:val="Testonotaapidipagina"/>
      </w:pPr>
      <w:r>
        <w:rPr>
          <w:rStyle w:val="Rimandonotaapidipagina"/>
        </w:rPr>
        <w:footnoteRef/>
      </w:r>
      <w:r>
        <w:t xml:space="preserve"> </w:t>
      </w:r>
      <w:r>
        <w:tab/>
        <w:t>Totemism, p. 51.</w:t>
      </w:r>
    </w:p>
  </w:footnote>
  <w:footnote w:id="332">
    <w:p w:rsidR="009A6BD2" w:rsidRDefault="003E2D0F">
      <w:pPr>
        <w:pStyle w:val="Testonotaapidipagina"/>
      </w:pPr>
      <w:r>
        <w:rPr>
          <w:rStyle w:val="Rimandonotaapidipagina"/>
        </w:rPr>
        <w:footnoteRef/>
      </w:r>
      <w:r>
        <w:t xml:space="preserve"> </w:t>
      </w:r>
      <w:r>
        <w:tab/>
        <w:t>Kamilaroi and Kurnai, p. 215.</w:t>
      </w:r>
    </w:p>
  </w:footnote>
  <w:footnote w:id="333">
    <w:p w:rsidR="009A6BD2" w:rsidRDefault="003E2D0F">
      <w:pPr>
        <w:pStyle w:val="Testonotaapidipagina"/>
      </w:pPr>
      <w:r>
        <w:rPr>
          <w:rStyle w:val="Rimandonotaapidipagina"/>
        </w:rPr>
        <w:footnoteRef/>
      </w:r>
      <w:r>
        <w:t xml:space="preserve"> </w:t>
      </w:r>
      <w:r>
        <w:tab/>
        <w:t>THRELLDKE, cité par MATHEWS, loc. cit., p. 339.</w:t>
      </w:r>
    </w:p>
  </w:footnote>
  <w:footnote w:id="334">
    <w:p w:rsidR="009A6BD2" w:rsidRDefault="003E2D0F">
      <w:pPr>
        <w:pStyle w:val="Testonotaapidipagina"/>
      </w:pPr>
      <w:r>
        <w:rPr>
          <w:rStyle w:val="Rimandonotaapidipagina"/>
        </w:rPr>
        <w:footnoteRef/>
      </w:r>
      <w:r>
        <w:t xml:space="preserve"> </w:t>
      </w:r>
      <w:r>
        <w:tab/>
        <w:t>HOWITT, Nat. Tr., pp. 148, 151.</w:t>
      </w:r>
    </w:p>
  </w:footnote>
  <w:footnote w:id="335">
    <w:p w:rsidR="009A6BD2" w:rsidRDefault="003E2D0F">
      <w:pPr>
        <w:pStyle w:val="Testonotaapidipagina"/>
      </w:pPr>
      <w:r>
        <w:rPr>
          <w:rStyle w:val="Rimandonotaapidipagina"/>
        </w:rPr>
        <w:footnoteRef/>
      </w:r>
      <w:r>
        <w:t xml:space="preserve"> </w:t>
      </w:r>
      <w:r>
        <w:tab/>
        <w:t>Kamilaroi and Kurnai, p. 200-203; HOWITT, Nat. Tr., p. 149; PETRIE op. cit., p. 62. Chez les Kurnai, ces luttes sanglantes, se terminent souvent par des mariages dont</w:t>
      </w:r>
      <w:r>
        <w:t xml:space="preserve"> elles sont comme le prodrome rituel. Parfois aussi, ces batailles deviennent de simples jeux (PETRIE, loc. cit.).</w:t>
      </w:r>
    </w:p>
  </w:footnote>
  <w:footnote w:id="336">
    <w:p w:rsidR="009A6BD2" w:rsidRDefault="003E2D0F">
      <w:pPr>
        <w:pStyle w:val="Testonotaapidipagina"/>
      </w:pPr>
      <w:r>
        <w:rPr>
          <w:rStyle w:val="Rimandonotaapidipagina"/>
        </w:rPr>
        <w:footnoteRef/>
      </w:r>
      <w:r>
        <w:t xml:space="preserve"> </w:t>
      </w:r>
      <w:r>
        <w:tab/>
        <w:t>V. sur ce point notre étude sur: La prohibition de l'inceste et ses origines, in Année sociol., I, p. 44 et suiv.</w:t>
      </w:r>
    </w:p>
  </w:footnote>
  <w:footnote w:id="337">
    <w:p w:rsidR="009A6BD2" w:rsidRDefault="003E2D0F">
      <w:pPr>
        <w:pStyle w:val="Testonotaapidipagina"/>
      </w:pPr>
      <w:r>
        <w:rPr>
          <w:rStyle w:val="Rimandonotaapidipagina"/>
        </w:rPr>
        <w:footnoteRef/>
      </w:r>
      <w:r>
        <w:t xml:space="preserve"> </w:t>
      </w:r>
      <w:r>
        <w:tab/>
        <w:t>Nous verrons cependan</w:t>
      </w:r>
      <w:r>
        <w:t>t plus bas (chap. IX) qu'il existe un rapport entre les totems sexuels et les grands dieux.</w:t>
      </w:r>
    </w:p>
  </w:footnote>
  <w:footnote w:id="338">
    <w:p w:rsidR="009A6BD2" w:rsidRDefault="003E2D0F">
      <w:pPr>
        <w:pStyle w:val="Testonotaapidipagina"/>
      </w:pPr>
      <w:r>
        <w:rPr>
          <w:rStyle w:val="Rimandonotaapidipagina"/>
        </w:rPr>
        <w:footnoteRef/>
      </w:r>
      <w:r>
        <w:t xml:space="preserve"> </w:t>
      </w:r>
      <w:r>
        <w:tab/>
        <w:t>Civilisation primitive, I, p. 465, Il, p. 305; Remarks on Totemism, with especial reference to some modern theories concerning it, in J.A.I, XXVIII et I de la no</w:t>
      </w:r>
      <w:r>
        <w:t>uvelle série, p. 138.</w:t>
      </w:r>
    </w:p>
  </w:footnote>
  <w:footnote w:id="339">
    <w:p w:rsidR="009A6BD2" w:rsidRDefault="003E2D0F">
      <w:pPr>
        <w:pStyle w:val="Testonotaapidipagina"/>
      </w:pPr>
      <w:r>
        <w:rPr>
          <w:rStyle w:val="Rimandonotaapidipagina"/>
        </w:rPr>
        <w:footnoteRef/>
      </w:r>
      <w:r>
        <w:t xml:space="preserve"> </w:t>
      </w:r>
      <w:r>
        <w:tab/>
        <w:t>Het Animisme bij den Volken van den indischen Archipel, pp. 69-75.</w:t>
      </w:r>
    </w:p>
  </w:footnote>
  <w:footnote w:id="340">
    <w:p w:rsidR="009A6BD2" w:rsidRDefault="003E2D0F">
      <w:pPr>
        <w:pStyle w:val="Testonotaapidipagina"/>
      </w:pPr>
      <w:r>
        <w:rPr>
          <w:rStyle w:val="Rimandonotaapidipagina"/>
        </w:rPr>
        <w:footnoteRef/>
      </w:r>
      <w:r>
        <w:t xml:space="preserve"> </w:t>
      </w:r>
      <w:r>
        <w:tab/>
        <w:t>TYLOR, civilisation primitive, II, p. 8.</w:t>
      </w:r>
    </w:p>
  </w:footnote>
  <w:footnote w:id="341">
    <w:p w:rsidR="009A6BD2" w:rsidRDefault="003E2D0F">
      <w:pPr>
        <w:pStyle w:val="Testonotaapidipagina"/>
      </w:pPr>
      <w:r>
        <w:rPr>
          <w:rStyle w:val="Rimandonotaapidipagina"/>
        </w:rPr>
        <w:footnoteRef/>
      </w:r>
      <w:r>
        <w:t xml:space="preserve"> </w:t>
      </w:r>
      <w:r>
        <w:tab/>
        <w:t>TYLOR, ibid., pp. 8-21.</w:t>
      </w:r>
    </w:p>
  </w:footnote>
  <w:footnote w:id="342">
    <w:p w:rsidR="009A6BD2" w:rsidRDefault="003E2D0F">
      <w:pPr>
        <w:pStyle w:val="Testonotaapidipagina"/>
      </w:pPr>
      <w:r>
        <w:rPr>
          <w:rStyle w:val="Rimandonotaapidipagina"/>
        </w:rPr>
        <w:footnoteRef/>
      </w:r>
      <w:r>
        <w:t xml:space="preserve"> </w:t>
      </w:r>
      <w:r>
        <w:tab/>
        <w:t>G. McCALL THEAL, Records of South-Eastern Africa, VIL Nous ne connaissons ce travail que p</w:t>
      </w:r>
      <w:r>
        <w:t>ar un article de FRAZER, South African Totemism, paru dans Man, 1901, no III.</w:t>
      </w:r>
    </w:p>
  </w:footnote>
  <w:footnote w:id="343">
    <w:p w:rsidR="009A6BD2" w:rsidRDefault="003E2D0F">
      <w:pPr>
        <w:pStyle w:val="Testonotaapidipagina"/>
      </w:pPr>
      <w:r>
        <w:rPr>
          <w:rStyle w:val="Rimandonotaapidipagina"/>
        </w:rPr>
        <w:footnoteRef/>
      </w:r>
      <w:r>
        <w:t xml:space="preserve"> </w:t>
      </w:r>
      <w:r>
        <w:tab/>
        <w:t>CODRINGTON, The Melanesians, pp. 32-33, et lettre personnelle du même auteur citée par TYLOR dans J.A.I., XXVIII, p. 147.</w:t>
      </w:r>
    </w:p>
  </w:footnote>
  <w:footnote w:id="344">
    <w:p w:rsidR="009A6BD2" w:rsidRDefault="003E2D0F">
      <w:pPr>
        <w:pStyle w:val="Testonotaapidipagina"/>
      </w:pPr>
      <w:r>
        <w:rPr>
          <w:rStyle w:val="Rimandonotaapidipagina"/>
        </w:rPr>
        <w:footnoteRef/>
      </w:r>
      <w:r>
        <w:t xml:space="preserve"> </w:t>
      </w:r>
      <w:r>
        <w:tab/>
        <w:t>Telle est aussi, à des nuances près, la solution a</w:t>
      </w:r>
      <w:r>
        <w:t>doptée Par WUNDT (Mythus und Religion, Il, p. 269).</w:t>
      </w:r>
    </w:p>
  </w:footnote>
  <w:footnote w:id="345">
    <w:p w:rsidR="009A6BD2" w:rsidRDefault="003E2D0F">
      <w:pPr>
        <w:pStyle w:val="Testonotaapidipagina"/>
      </w:pPr>
      <w:r>
        <w:rPr>
          <w:rStyle w:val="Rimandonotaapidipagina"/>
        </w:rPr>
        <w:footnoteRef/>
      </w:r>
      <w:r>
        <w:t xml:space="preserve"> </w:t>
      </w:r>
      <w:r>
        <w:tab/>
        <w:t>Il est vrai que, pour Tylor, le clan n'est qu'une famille élargie; par suite, ce qui se petit dire de l'un de ces groupes s'applique dans sa pensée à l'autre (J.A.I., XXVIII, p. 157). Mais cette concep</w:t>
      </w:r>
      <w:r>
        <w:t>tion est des plus contestables ; le clan seul suppose le totem qui n'a tout son sens que dans et par le clan.</w:t>
      </w:r>
    </w:p>
  </w:footnote>
  <w:footnote w:id="346">
    <w:p w:rsidR="009A6BD2" w:rsidRDefault="003E2D0F">
      <w:pPr>
        <w:pStyle w:val="Testonotaapidipagina"/>
      </w:pPr>
      <w:r>
        <w:rPr>
          <w:rStyle w:val="Rimandonotaapidipagina"/>
        </w:rPr>
        <w:footnoteRef/>
      </w:r>
      <w:r>
        <w:t xml:space="preserve"> </w:t>
      </w:r>
      <w:r>
        <w:tab/>
        <w:t>Dans le même sens, A. LANG, Social Origins, p. 150.</w:t>
      </w:r>
    </w:p>
  </w:footnote>
  <w:footnote w:id="347">
    <w:p w:rsidR="009A6BD2" w:rsidRDefault="003E2D0F">
      <w:pPr>
        <w:pStyle w:val="Testonotaapidipagina"/>
      </w:pPr>
      <w:r>
        <w:rPr>
          <w:rStyle w:val="Rimandonotaapidipagina"/>
        </w:rPr>
        <w:footnoteRef/>
      </w:r>
      <w:r>
        <w:t xml:space="preserve"> </w:t>
      </w:r>
      <w:r>
        <w:tab/>
        <w:t>V. plus haut, p. 89.</w:t>
      </w:r>
    </w:p>
  </w:footnote>
  <w:footnote w:id="348">
    <w:p w:rsidR="009A6BD2" w:rsidRDefault="003E2D0F">
      <w:pPr>
        <w:pStyle w:val="Testonotaapidipagina"/>
      </w:pPr>
      <w:r>
        <w:rPr>
          <w:rStyle w:val="Rimandonotaapidipagina"/>
        </w:rPr>
        <w:footnoteRef/>
      </w:r>
      <w:r>
        <w:t xml:space="preserve"> </w:t>
      </w:r>
      <w:r>
        <w:tab/>
        <w:t>Civilisation primitive, II, p. 23.</w:t>
      </w:r>
    </w:p>
  </w:footnote>
  <w:footnote w:id="349">
    <w:p w:rsidR="009A6BD2" w:rsidRDefault="003E2D0F">
      <w:pPr>
        <w:pStyle w:val="Testonotaapidipagina"/>
      </w:pPr>
      <w:r>
        <w:rPr>
          <w:rStyle w:val="Rimandonotaapidipagina"/>
        </w:rPr>
        <w:footnoteRef/>
      </w:r>
      <w:r>
        <w:t xml:space="preserve"> </w:t>
      </w:r>
      <w:r>
        <w:tab/>
        <w:t>Wundt qui a repris, dans s</w:t>
      </w:r>
      <w:r>
        <w:t>es lignes essentielles, la théorie de Tylor, a essayé d'expliquer autrement cette relation mystérieuse de l'homme et de l'animal; c'est le spectacle donné par le cadavre en décomposition qui en aurait suggéré l'idée. En voyant les vers qui s'échappent du c</w:t>
      </w:r>
      <w:r>
        <w:t>orps, on aurait cru que l'âme y était incarnée et s'échappait avec eux. Les vers et, par extension, les reptiles (serpents, lézards, etc.), seraient donc les premiers animaux qui auraient servi de réceptacles aux âmes des morts, et, par suite, ils auraient</w:t>
      </w:r>
      <w:r>
        <w:t xml:space="preserve"> été également les premiers à être vénérés et à jouer le rôle de totems. C'est seulement ensuite que d'autres animaux et même des plantes et des objets inanimés auraient été élevés à la même dignité. Mais cette hypothèse ne repose même pas sur un commencem</w:t>
      </w:r>
      <w:r>
        <w:t>ent de preuve. WUNDT affirme (Mythus und Religion, Il, p. 269) que les reptiles sont des totems beaucoup plus répandus que les autres animaux; d'où il conclut qu'ils sont les plus primitifs. Mais il nous est impossible d'apercevoir ce qui peut justifier ce</w:t>
      </w:r>
      <w:r>
        <w:t>tte assertion à l'appui de laquelle l'auteur n'apporte aucun fait. Des listes de totems relevées soit en Australie, soit en Amérique, il ne ressort nullement qu'une espèce animale quelconque ait joué quelque part un rôle prépondérant. Les totems varient d'</w:t>
      </w:r>
      <w:r>
        <w:t>une région à l'autre suivant l'état de la faune et de la flore. Si, d'ailleurs, le cercle originel des totems avait été si étroitement limité, on ne voit pas comment le totémisme aurait pu satisfaire au principe fondamental en vertu duquel deux clans ou so</w:t>
      </w:r>
      <w:r>
        <w:t>us-clans d'une même tribu doivent avoir deux totems différents.</w:t>
      </w:r>
    </w:p>
  </w:footnote>
  <w:footnote w:id="350">
    <w:p w:rsidR="009A6BD2" w:rsidRDefault="003E2D0F">
      <w:pPr>
        <w:pStyle w:val="Testonotaapidipagina"/>
      </w:pPr>
      <w:r>
        <w:rPr>
          <w:rStyle w:val="Rimandonotaapidipagina"/>
        </w:rPr>
        <w:footnoteRef/>
      </w:r>
      <w:r>
        <w:t xml:space="preserve"> </w:t>
      </w:r>
      <w:r>
        <w:tab/>
        <w:t xml:space="preserve">« On adore parfois certains animaux, dit TYLOR, parce qu'on les regarde comme l'incarnation de l'âme divine des ancêtres; cette croyance constitue une sorte de trait d'union entre le culte </w:t>
      </w:r>
      <w:r>
        <w:t>rendu aux mânes et le culte rendu aux animaux » (Civilisation primitive, Il, p. 305 ; cf. 308 in fine). De Même, WUNDT présente le totémisme comme une section de l'animalisme (Il, p. 234).</w:t>
      </w:r>
    </w:p>
  </w:footnote>
  <w:footnote w:id="351">
    <w:p w:rsidR="009A6BD2" w:rsidRDefault="003E2D0F">
      <w:pPr>
        <w:pStyle w:val="Testonotaapidipagina"/>
      </w:pPr>
      <w:r>
        <w:rPr>
          <w:rStyle w:val="Rimandonotaapidipagina"/>
        </w:rPr>
        <w:footnoteRef/>
      </w:r>
      <w:r>
        <w:t xml:space="preserve"> </w:t>
      </w:r>
      <w:r>
        <w:tab/>
        <w:t>V. plus haut, p. 197.</w:t>
      </w:r>
    </w:p>
  </w:footnote>
  <w:footnote w:id="352">
    <w:p w:rsidR="009A6BD2" w:rsidRDefault="003E2D0F">
      <w:pPr>
        <w:pStyle w:val="Testonotaapidipagina"/>
      </w:pPr>
      <w:r>
        <w:rPr>
          <w:rStyle w:val="Rimandonotaapidipagina"/>
        </w:rPr>
        <w:footnoteRef/>
      </w:r>
      <w:r>
        <w:t xml:space="preserve"> </w:t>
      </w:r>
      <w:r>
        <w:tab/>
        <w:t>Introduction to the History of Religion</w:t>
      </w:r>
      <w:r>
        <w:t>, p. 96 et suiv.</w:t>
      </w:r>
    </w:p>
  </w:footnote>
  <w:footnote w:id="353">
    <w:p w:rsidR="009A6BD2" w:rsidRDefault="003E2D0F">
      <w:pPr>
        <w:pStyle w:val="Testonotaapidipagina"/>
      </w:pPr>
      <w:r>
        <w:rPr>
          <w:rStyle w:val="Rimandonotaapidipagina"/>
        </w:rPr>
        <w:footnoteRef/>
      </w:r>
      <w:r>
        <w:t xml:space="preserve"> </w:t>
      </w:r>
      <w:r>
        <w:tab/>
        <w:t>V. plus haut, p. 38.</w:t>
      </w:r>
    </w:p>
  </w:footnote>
  <w:footnote w:id="354">
    <w:p w:rsidR="009A6BD2" w:rsidRDefault="003E2D0F">
      <w:pPr>
        <w:pStyle w:val="Testonotaapidipagina"/>
      </w:pPr>
      <w:r>
        <w:rPr>
          <w:rStyle w:val="Rimandonotaapidipagina"/>
        </w:rPr>
        <w:footnoteRef/>
      </w:r>
      <w:r>
        <w:t xml:space="preserve"> </w:t>
      </w:r>
      <w:r>
        <w:tab/>
        <w:t>C'est ce que Jevons reconnaît lui-même « Il y a lieu de présumer, dit-il, que, dans le choix d'un allié, l'homme devait préférer... l'espèce qui possédait le plus grand pouvoir » (p. 101).</w:t>
      </w:r>
    </w:p>
  </w:footnote>
  <w:footnote w:id="355">
    <w:p w:rsidR="009A6BD2" w:rsidRDefault="003E2D0F">
      <w:pPr>
        <w:pStyle w:val="Testonotaapidipagina"/>
      </w:pPr>
      <w:r>
        <w:rPr>
          <w:rStyle w:val="Rimandonotaapidipagina"/>
        </w:rPr>
        <w:footnoteRef/>
      </w:r>
      <w:r>
        <w:t xml:space="preserve"> </w:t>
      </w:r>
      <w:r>
        <w:tab/>
        <w:t xml:space="preserve">2e éd., III, p. 416 </w:t>
      </w:r>
      <w:r>
        <w:t>et suiv.; voir particulièrement p. 419, no 5. Dans de plus récents articles, qui seront analysés plus loin, FRAZER a exposé une théorie différente qui pourtant, dans sa pensée, n'exclut pas complètement celle du Golden Bough.</w:t>
      </w:r>
    </w:p>
  </w:footnote>
  <w:footnote w:id="356">
    <w:p w:rsidR="009A6BD2" w:rsidRDefault="003E2D0F">
      <w:pPr>
        <w:pStyle w:val="Testonotaapidipagina"/>
      </w:pPr>
      <w:r>
        <w:rPr>
          <w:rStyle w:val="Rimandonotaapidipagina"/>
        </w:rPr>
        <w:footnoteRef/>
      </w:r>
      <w:r>
        <w:t xml:space="preserve"> </w:t>
      </w:r>
      <w:r>
        <w:tab/>
        <w:t xml:space="preserve">The Origin of the Totemism </w:t>
      </w:r>
      <w:r>
        <w:t>of the Aborigines of British Columbia, in Proc. and Transac. of the R. Society of Canada, 2e série, VII, 2e section, p. 3 et suiv. Du même, Report on the Ethnology of the Statlumh, J.A.I., XXXV, p. 141. Hill TOUT a répondu à différentes objections qui avai</w:t>
      </w:r>
      <w:r>
        <w:t>ent été faites à sa théorie dans le tome IX des Trans. of the R. Society of Canada, pp. 61-99.</w:t>
      </w:r>
    </w:p>
  </w:footnote>
  <w:footnote w:id="357">
    <w:p w:rsidR="009A6BD2" w:rsidRDefault="003E2D0F">
      <w:pPr>
        <w:pStyle w:val="Testonotaapidipagina"/>
      </w:pPr>
      <w:r>
        <w:rPr>
          <w:rStyle w:val="Rimandonotaapidipagina"/>
        </w:rPr>
        <w:footnoteRef/>
      </w:r>
      <w:r>
        <w:t xml:space="preserve"> </w:t>
      </w:r>
      <w:r>
        <w:tab/>
        <w:t>Alice C. FLETCHER, The Import of the Totem, in Smithsonian Report for 1897, pp. 577-586.</w:t>
      </w:r>
    </w:p>
  </w:footnote>
  <w:footnote w:id="358">
    <w:p w:rsidR="009A6BD2" w:rsidRDefault="003E2D0F">
      <w:pPr>
        <w:pStyle w:val="Testonotaapidipagina"/>
      </w:pPr>
      <w:r>
        <w:rPr>
          <w:rStyle w:val="Rimandonotaapidipagina"/>
        </w:rPr>
        <w:footnoteRef/>
      </w:r>
      <w:r>
        <w:t xml:space="preserve"> </w:t>
      </w:r>
      <w:r>
        <w:tab/>
        <w:t>The Kwakiutl Indians, pp. 323 et suiv., 336-338, 393.</w:t>
      </w:r>
    </w:p>
  </w:footnote>
  <w:footnote w:id="359">
    <w:p w:rsidR="009A6BD2" w:rsidRDefault="003E2D0F">
      <w:pPr>
        <w:pStyle w:val="Testonotaapidipagina"/>
      </w:pPr>
      <w:r>
        <w:rPr>
          <w:rStyle w:val="Rimandonotaapidipagina"/>
        </w:rPr>
        <w:footnoteRef/>
      </w:r>
      <w:r>
        <w:t xml:space="preserve"> </w:t>
      </w:r>
      <w:r>
        <w:tab/>
        <w:t>The Devel</w:t>
      </w:r>
      <w:r>
        <w:t>opment of the Clan System, in Amer. Anthrop., n. s., 1904, VI, pp. 477-864.</w:t>
      </w:r>
    </w:p>
  </w:footnote>
  <w:footnote w:id="360">
    <w:p w:rsidR="009A6BD2" w:rsidRDefault="003E2D0F">
      <w:pPr>
        <w:pStyle w:val="Testonotaapidipagina"/>
      </w:pPr>
      <w:r>
        <w:rPr>
          <w:rStyle w:val="Rimandonotaapidipagina"/>
        </w:rPr>
        <w:footnoteRef/>
      </w:r>
      <w:r>
        <w:t xml:space="preserve"> </w:t>
      </w:r>
      <w:r>
        <w:tab/>
        <w:t>J.A.I., XXXV, p. 142.</w:t>
      </w:r>
    </w:p>
  </w:footnote>
  <w:footnote w:id="361">
    <w:p w:rsidR="009A6BD2" w:rsidRDefault="003E2D0F">
      <w:pPr>
        <w:pStyle w:val="Testonotaapidipagina"/>
      </w:pPr>
      <w:r>
        <w:rPr>
          <w:rStyle w:val="Rimandonotaapidipagina"/>
        </w:rPr>
        <w:footnoteRef/>
      </w:r>
      <w:r>
        <w:t xml:space="preserve"> </w:t>
      </w:r>
      <w:r>
        <w:tab/>
        <w:t>Ibid., p. 150. Cf. Vth Rep. on the Physical Characteristics, etc., of the N. W. Tribes of Canada, B.A.A.S., p. 24. Nous avons rapporté plus haut un myth</w:t>
      </w:r>
      <w:r>
        <w:t>e de ce genre.</w:t>
      </w:r>
    </w:p>
  </w:footnote>
  <w:footnote w:id="362">
    <w:p w:rsidR="009A6BD2" w:rsidRDefault="003E2D0F">
      <w:pPr>
        <w:pStyle w:val="Testonotaapidipagina"/>
      </w:pPr>
      <w:r>
        <w:rPr>
          <w:rStyle w:val="Rimandonotaapidipagina"/>
        </w:rPr>
        <w:footnoteRef/>
      </w:r>
      <w:r>
        <w:t xml:space="preserve"> </w:t>
      </w:r>
      <w:r>
        <w:tab/>
        <w:t>J.A.I., XXXV, p. 147.</w:t>
      </w:r>
    </w:p>
  </w:footnote>
  <w:footnote w:id="363">
    <w:p w:rsidR="009A6BD2" w:rsidRDefault="003E2D0F">
      <w:pPr>
        <w:pStyle w:val="Testonotaapidipagina"/>
      </w:pPr>
      <w:r>
        <w:rPr>
          <w:rStyle w:val="Rimandonotaapidipagina"/>
        </w:rPr>
        <w:footnoteRef/>
      </w:r>
      <w:r>
        <w:t xml:space="preserve"> </w:t>
      </w:r>
      <w:r>
        <w:tab/>
        <w:t>Proc. a. Transac., etc., VII, 2e section, p. 12.</w:t>
      </w:r>
    </w:p>
  </w:footnote>
  <w:footnote w:id="364">
    <w:p w:rsidR="009A6BD2" w:rsidRDefault="003E2D0F">
      <w:pPr>
        <w:pStyle w:val="Testonotaapidipagina"/>
      </w:pPr>
      <w:r>
        <w:rPr>
          <w:rStyle w:val="Rimandonotaapidipagina"/>
        </w:rPr>
        <w:footnoteRef/>
      </w:r>
      <w:r>
        <w:t xml:space="preserve"> </w:t>
      </w:r>
      <w:r>
        <w:tab/>
        <w:t>V. The Golden Bough, III, p. 351 et suiv. WILKEN avait déjà signalé des faits analogues dans De Simsonsage, in De Gids, 1890; De Betrekking tusschen Menschen-Die</w:t>
      </w:r>
      <w:r>
        <w:t>ren en Plantenleven, in Indische Gids, 1884, 1888; Ueber das Haaropfer, in Revue coloniale internationale, 1886-1887.</w:t>
      </w:r>
    </w:p>
  </w:footnote>
  <w:footnote w:id="365">
    <w:p w:rsidR="009A6BD2" w:rsidRDefault="003E2D0F">
      <w:pPr>
        <w:pStyle w:val="Testonotaapidipagina"/>
      </w:pPr>
      <w:r>
        <w:rPr>
          <w:rStyle w:val="Rimandonotaapidipagina"/>
        </w:rPr>
        <w:footnoteRef/>
      </w:r>
      <w:r>
        <w:t xml:space="preserve"> </w:t>
      </w:r>
      <w:r>
        <w:tab/>
        <w:t>Par exemple Eylmann dans Die Eingeborenen der Kolonie Südaustralien, p. 199.</w:t>
      </w:r>
    </w:p>
  </w:footnote>
  <w:footnote w:id="366">
    <w:p w:rsidR="009A6BD2" w:rsidRDefault="003E2D0F">
      <w:pPr>
        <w:pStyle w:val="Testonotaapidipagina"/>
      </w:pPr>
      <w:r>
        <w:rPr>
          <w:rStyle w:val="Rimandonotaapidipagina"/>
        </w:rPr>
        <w:footnoteRef/>
      </w:r>
      <w:r>
        <w:t xml:space="preserve"> </w:t>
      </w:r>
      <w:r>
        <w:tab/>
        <w:t xml:space="preserve">Si le Yunbeai, dit Mrs PARKER à propos des Euahlayi, « </w:t>
      </w:r>
      <w:r>
        <w:t xml:space="preserve">confère une force exceptionnelle, il expose aussi à des dangers exceptionnels, car tout ce qui lèse l'animal blesse l'homme » (Euahlayi, </w:t>
      </w:r>
      <w:r>
        <w:rPr>
          <w:i/>
          <w:iCs/>
        </w:rPr>
        <w:t xml:space="preserve">p. </w:t>
      </w:r>
      <w:r>
        <w:t>29).</w:t>
      </w:r>
    </w:p>
  </w:footnote>
  <w:footnote w:id="367">
    <w:p w:rsidR="009A6BD2" w:rsidRDefault="003E2D0F">
      <w:pPr>
        <w:pStyle w:val="Testonotaapidipagina"/>
      </w:pPr>
      <w:r>
        <w:rPr>
          <w:rStyle w:val="Rimandonotaapidipagina"/>
        </w:rPr>
        <w:footnoteRef/>
      </w:r>
      <w:r>
        <w:t xml:space="preserve"> </w:t>
      </w:r>
      <w:r>
        <w:tab/>
        <w:t>Dans un travail ultérieur (The origin of Totemism, in The Fortnighlly Review, mai 1899, pp. 844-845), FRAZER</w:t>
      </w:r>
      <w:r>
        <w:t xml:space="preserve"> se fait lui-même l'objection : « Si, dit-il, j'ai déposé mon âme dans le corps d'un lièvre, et si mon frère John (membre d'un clan étranger) tue ce lièvre, le fait rôtir et le mange, qu'advient-il de mon âme ? Pour prévenir ce danger, il est nécessaire qu</w:t>
      </w:r>
      <w:r>
        <w:t xml:space="preserve">e mon frère John connaisse cette situation de mon âme et que, par suite, quand il tue un lièvre, il ait soin d'en extraire cette âme et de me la restituer, avant de cuire l'animal et d'en faire son dîner. » Or, Frazer croit trouver cette pratique en usage </w:t>
      </w:r>
      <w:r>
        <w:t>dans les tribus de l'Australie Centrale. Tous les ans, au cours d'un rite que nous décrirons plus loin, quand les animaux de la génération nouvelle arrivent à maturité, le premier gibier tué est présenté aux gens du totem qui en mangent un peu ; et c'est s</w:t>
      </w:r>
      <w:r>
        <w:t xml:space="preserve">eulement ensuite que les gens des autres clans peuvent en consommer librement. C'est, dit Frazer, un moyen de rendre aux premiers l'âme qu'ils peuvent avoir confiée à ces animaux. Mais, outre que cette interprétation du rite est tout à fait arbitraire, il </w:t>
      </w:r>
      <w:r>
        <w:t>est difficile de ne pas trouver singulier ce moyen de parer au danger. Cette cérémonie est annuelle; de longs jours ont pu s'écouler depuis le moment où l'animal a été tué. Pendant ce temps, qu'est devenue l'âme dont il avait la garde et l'individu dont ce</w:t>
      </w:r>
      <w:r>
        <w:t>tte âme est le principe de vie ? Mais il est inutile d'insister sur tout ce qu'a d'inconcevable cette explication.</w:t>
      </w:r>
    </w:p>
  </w:footnote>
  <w:footnote w:id="368">
    <w:p w:rsidR="009A6BD2" w:rsidRDefault="003E2D0F">
      <w:pPr>
        <w:pStyle w:val="Testonotaapidipagina"/>
      </w:pPr>
      <w:r>
        <w:rPr>
          <w:rStyle w:val="Rimandonotaapidipagina"/>
        </w:rPr>
        <w:footnoteRef/>
      </w:r>
      <w:r>
        <w:t xml:space="preserve"> </w:t>
      </w:r>
      <w:r>
        <w:tab/>
        <w:t>PARKER, Op. cit., p. 20 ; HOWITT, Australian Medicine Men, in J.A.I., XVI, pp. 34, 49-50 ; Hill Tout, J.A.I., XXXV, p. 146.</w:t>
      </w:r>
    </w:p>
  </w:footnote>
  <w:footnote w:id="369">
    <w:p w:rsidR="009A6BD2" w:rsidRDefault="003E2D0F">
      <w:pPr>
        <w:pStyle w:val="Testonotaapidipagina"/>
      </w:pPr>
      <w:r>
        <w:rPr>
          <w:rStyle w:val="Rimandonotaapidipagina"/>
        </w:rPr>
        <w:footnoteRef/>
      </w:r>
      <w:r>
        <w:t xml:space="preserve"> </w:t>
      </w:r>
      <w:r>
        <w:tab/>
        <w:t>D'après Hil</w:t>
      </w:r>
      <w:r>
        <w:t>l TOUT lui-même. « Le don ou la transmission (d'un totem personnel) ne peuvent être effectués que par certaines personnes telles que des shamanes ou des hommes qui possèdent un grand pouvoir mystérieux » (J.A.I., XXXV, p. 146). Cf. Langloh PARKER, Op. cit.</w:t>
      </w:r>
      <w:r>
        <w:t>, pp. 29-30.</w:t>
      </w:r>
    </w:p>
  </w:footnote>
  <w:footnote w:id="370">
    <w:p w:rsidR="009A6BD2" w:rsidRDefault="003E2D0F">
      <w:pPr>
        <w:pStyle w:val="Testonotaapidipagina"/>
      </w:pPr>
      <w:r>
        <w:rPr>
          <w:rStyle w:val="Rimandonotaapidipagina"/>
        </w:rPr>
        <w:footnoteRef/>
      </w:r>
      <w:r>
        <w:t xml:space="preserve"> </w:t>
      </w:r>
      <w:r>
        <w:tab/>
        <w:t>Cf. HARTLAND, Totemism and some Recent Discoveries, Folk-lore, XI, p. 59 et suiv.</w:t>
      </w:r>
    </w:p>
  </w:footnote>
  <w:footnote w:id="371">
    <w:p w:rsidR="009A6BD2" w:rsidRDefault="003E2D0F">
      <w:pPr>
        <w:pStyle w:val="Testonotaapidipagina"/>
      </w:pPr>
      <w:r>
        <w:rPr>
          <w:rStyle w:val="Rimandonotaapidipagina"/>
        </w:rPr>
        <w:footnoteRef/>
      </w:r>
      <w:r>
        <w:t xml:space="preserve"> </w:t>
      </w:r>
      <w:r>
        <w:tab/>
        <w:t>Sauf peut-être chez les Kurnai; et encore, dans cette tribu, y a-t-il, outre les totems personnels, des totems sexuels.</w:t>
      </w:r>
    </w:p>
  </w:footnote>
  <w:footnote w:id="372">
    <w:p w:rsidR="009A6BD2" w:rsidRDefault="003E2D0F">
      <w:pPr>
        <w:pStyle w:val="Testonotaapidipagina"/>
      </w:pPr>
      <w:r>
        <w:rPr>
          <w:rStyle w:val="Rimandonotaapidipagina"/>
        </w:rPr>
        <w:footnoteRef/>
      </w:r>
      <w:r>
        <w:t xml:space="preserve"> </w:t>
      </w:r>
      <w:r>
        <w:tab/>
        <w:t>Chez les Wotjobaluk, les Buandik</w:t>
      </w:r>
      <w:r>
        <w:t>, les Wiradjuri, les Yuin et les tribus voisines de Maryborough (Queensland). V. HOWITT, Nat. Tr., pp. 114-147; MATHEWS, J. Of R. Soc. of N. S. Wales, XXXVIII, p. 291. Cf. Thomas, Further Notes on M. Hill Tout's Views of Totemism, in Man, 1904, p. 85.</w:t>
      </w:r>
    </w:p>
  </w:footnote>
  <w:footnote w:id="373">
    <w:p w:rsidR="009A6BD2" w:rsidRDefault="003E2D0F">
      <w:pPr>
        <w:pStyle w:val="Testonotaapidipagina"/>
      </w:pPr>
      <w:r>
        <w:rPr>
          <w:rStyle w:val="Rimandonotaapidipagina"/>
        </w:rPr>
        <w:footnoteRef/>
      </w:r>
      <w:r>
        <w:t xml:space="preserve"> </w:t>
      </w:r>
      <w:r>
        <w:tab/>
        <w:t>C</w:t>
      </w:r>
      <w:r>
        <w:t>'est le cas des Euahlayi et des faits de totémisme personnel signalés par HOWITT dans Australian Medicine Men, in J.A.I., XVI, pp. 34, 45 et 49-50,</w:t>
      </w:r>
    </w:p>
  </w:footnote>
  <w:footnote w:id="374">
    <w:p w:rsidR="009A6BD2" w:rsidRDefault="003E2D0F">
      <w:pPr>
        <w:pStyle w:val="Testonotaapidipagina"/>
      </w:pPr>
      <w:r>
        <w:rPr>
          <w:rStyle w:val="Rimandonotaapidipagina"/>
        </w:rPr>
        <w:footnoteRef/>
      </w:r>
      <w:r>
        <w:t xml:space="preserve"> </w:t>
      </w:r>
      <w:r>
        <w:tab/>
        <w:t>Miss FLETCHER, A Study of the Omaha Tribe, in Smithsonian Report for 1897, p. 586 ; BOAS, The Kwakiutl, p</w:t>
      </w:r>
      <w:r>
        <w:t>. 322 ; DU MÊME, Vth Rep. of the Committee... of the N. W. Tribes of the Dominion of Canada, B.A.A.S., p. 25; Hill TOUT, J.A.I., XXXV, p. 148.</w:t>
      </w:r>
    </w:p>
  </w:footnote>
  <w:footnote w:id="375">
    <w:p w:rsidR="009A6BD2" w:rsidRDefault="003E2D0F">
      <w:pPr>
        <w:pStyle w:val="Testonotaapidipagina"/>
      </w:pPr>
      <w:r>
        <w:rPr>
          <w:rStyle w:val="Rimandonotaapidipagina"/>
        </w:rPr>
        <w:footnoteRef/>
      </w:r>
      <w:r>
        <w:t xml:space="preserve"> </w:t>
      </w:r>
      <w:r>
        <w:tab/>
        <w:t>Les noms propres des différentes gentes, dit BOAS à propos des Tlinkit, sont dérivés de leurs totems respectif</w:t>
      </w:r>
      <w:r>
        <w:t>s, chaque gens ayant ses noms spéciaux. La connexion entre le nom et le totem (collectif) n'est parfois pas très apparente, mais elle existe toujours (Vth Rep. of the Committee.... p. 25). Le fait que les prénoms individuels sont la propriété du clan et le</w:t>
      </w:r>
      <w:r>
        <w:t xml:space="preserve"> caractérisent aussi sûrement que le totem s'observe également chez les Iroquois (MORGAN, Ancient Society, p. 78); chez les Wyandot (POWELL, Wyandot Government, in 1st Rep., p. 59) ; chez les Shawnee, les Sauk, les Fox (MORGAN, Ancient Society, p. 72, 76-7</w:t>
      </w:r>
      <w:r>
        <w:t>7) ; chez les Omaha Dorsey, Omaha Sociology, in IIId Rep., p. 227 et suiv.). Or on sait le rapport qu'il y a entre les prénoms et les totems personnels (v. plus haut, p. 224).</w:t>
      </w:r>
    </w:p>
  </w:footnote>
  <w:footnote w:id="376">
    <w:p w:rsidR="009A6BD2" w:rsidRDefault="003E2D0F">
      <w:pPr>
        <w:pStyle w:val="Testonotaapidipagina"/>
      </w:pPr>
      <w:r>
        <w:rPr>
          <w:rStyle w:val="Rimandonotaapidipagina"/>
        </w:rPr>
        <w:footnoteRef/>
      </w:r>
      <w:r>
        <w:t xml:space="preserve"> </w:t>
      </w:r>
      <w:r>
        <w:tab/>
        <w:t>« Par exemple, dit MATHEWS, si vous demandez à un homme Wartwurt quel est son</w:t>
      </w:r>
      <w:r>
        <w:t xml:space="preserve"> totem, il vous dira d'abord son totem personnel, mais, très probablement, il énumérera ensuite les autres totems personnels de son clan » (J. of the Roy. Soc. of N. S. Wales, XXXVIII, p. 291).</w:t>
      </w:r>
    </w:p>
  </w:footnote>
  <w:footnote w:id="377">
    <w:p w:rsidR="009A6BD2" w:rsidRDefault="003E2D0F">
      <w:pPr>
        <w:pStyle w:val="Testonotaapidipagina"/>
      </w:pPr>
      <w:r>
        <w:rPr>
          <w:rStyle w:val="Rimandonotaapidipagina"/>
        </w:rPr>
        <w:footnoteRef/>
      </w:r>
      <w:r>
        <w:t xml:space="preserve"> </w:t>
      </w:r>
      <w:r>
        <w:tab/>
        <w:t>The Beginnings of Religion and Totemism among the Australia</w:t>
      </w:r>
      <w:r>
        <w:t>n Aborigines, in The Fortnightly Review, juillet 1905, p. 162 et suiv., et sept., p. 452. Cf. DU MÊME AUTEUR, The Origin of Totemism, ibid., avril 1899, p. 648, et mai, p. 835. Ces derniers articles, un peu plus anciens, diffèrent sur un point des premiers</w:t>
      </w:r>
      <w:r>
        <w:t>, mais le fond de la théorie n'est pas essentiellement différent. Les uns et les autres sont reproduits dans Totemism a. Exogamy, 1, p. 89-172. V. dans le même sens, SPENCER et GILLEN, Some Remarks on Totemism as applied to Australian Tribes, in J.A.I., 18</w:t>
      </w:r>
      <w:r>
        <w:t>99, pp. 275-280, et des remarques de FRAZER, sur le même sujet, ibid., pp. 281-286.</w:t>
      </w:r>
    </w:p>
  </w:footnote>
  <w:footnote w:id="378">
    <w:p w:rsidR="009A6BD2" w:rsidRDefault="003E2D0F">
      <w:pPr>
        <w:pStyle w:val="Testonotaapidipagina"/>
      </w:pPr>
      <w:r>
        <w:rPr>
          <w:rStyle w:val="Rimandonotaapidipagina"/>
        </w:rPr>
        <w:footnoteRef/>
      </w:r>
      <w:r>
        <w:t xml:space="preserve"> </w:t>
      </w:r>
      <w:r>
        <w:tab/>
        <w:t>« Perhaps we may... say that it is but one remove from the original pattern, the absolutely primitive type of totemism » (Fortn. Rev., sept. 1905, p. 455).</w:t>
      </w:r>
    </w:p>
  </w:footnote>
  <w:footnote w:id="379">
    <w:p w:rsidR="009A6BD2" w:rsidRDefault="003E2D0F">
      <w:pPr>
        <w:pStyle w:val="Testonotaapidipagina"/>
      </w:pPr>
      <w:r>
        <w:rPr>
          <w:rStyle w:val="Rimandonotaapidipagina"/>
        </w:rPr>
        <w:footnoteRef/>
      </w:r>
      <w:r>
        <w:t xml:space="preserve"> </w:t>
      </w:r>
      <w:r>
        <w:tab/>
        <w:t>Sur ce poi</w:t>
      </w:r>
      <w:r>
        <w:t>nt, le témoignage de STREHLOW confirme celui de SPENCER et GILLEN (II, p. 52). V. en sens contraire LANG, The Secret of the Totem, p. 190.</w:t>
      </w:r>
    </w:p>
  </w:footnote>
  <w:footnote w:id="380">
    <w:p w:rsidR="009A6BD2" w:rsidRDefault="003E2D0F">
      <w:pPr>
        <w:pStyle w:val="Testonotaapidipagina"/>
      </w:pPr>
      <w:r>
        <w:rPr>
          <w:rStyle w:val="Rimandonotaapidipagina"/>
        </w:rPr>
        <w:footnoteRef/>
      </w:r>
      <w:r>
        <w:t xml:space="preserve"> </w:t>
      </w:r>
      <w:r>
        <w:tab/>
        <w:t>Une idée très voisine avait été déjà exprimée par HADDON dans son Address to the Anthropological section (B.A.A.S.</w:t>
      </w:r>
      <w:r>
        <w:t>, 1902, p. 8 et suiv.). Il suppose que chaque groupe local avait primitivement un aliment qui lui était plus spécialement propre. La plante ou l'animal qui servait ainsi de principale matière à la consommation serait devenu le totem du groupe.</w:t>
      </w:r>
    </w:p>
    <w:p w:rsidR="009A6BD2" w:rsidRDefault="003E2D0F">
      <w:pPr>
        <w:pStyle w:val="Testonotaapidipagina"/>
        <w:ind w:firstLine="346"/>
      </w:pPr>
      <w:r>
        <w:t>Toutes ces e</w:t>
      </w:r>
      <w:r>
        <w:t>xplications impliquent naturellement que l'interdiction de manger de l'animal totémique n'était pas primitive, et fut même précédée d'une prescription contraire.</w:t>
      </w:r>
    </w:p>
  </w:footnote>
  <w:footnote w:id="381">
    <w:p w:rsidR="009A6BD2" w:rsidRDefault="003E2D0F">
      <w:pPr>
        <w:pStyle w:val="Testonotaapidipagina"/>
      </w:pPr>
      <w:r>
        <w:rPr>
          <w:rStyle w:val="Rimandonotaapidipagina"/>
        </w:rPr>
        <w:footnoteRef/>
      </w:r>
      <w:r>
        <w:t xml:space="preserve"> </w:t>
      </w:r>
      <w:r>
        <w:tab/>
        <w:t>Fortn. Rev., sept. 1905, p. 458.</w:t>
      </w:r>
    </w:p>
  </w:footnote>
  <w:footnote w:id="382">
    <w:p w:rsidR="009A6BD2" w:rsidRDefault="003E2D0F">
      <w:pPr>
        <w:pStyle w:val="Testonotaapidipagina"/>
      </w:pPr>
      <w:r>
        <w:rPr>
          <w:rStyle w:val="Rimandonotaapidipagina"/>
        </w:rPr>
        <w:footnoteRef/>
      </w:r>
      <w:r>
        <w:t xml:space="preserve"> </w:t>
      </w:r>
      <w:r>
        <w:tab/>
        <w:t xml:space="preserve">Fortn. Rev., mai 1899, p. 835, et juillet 1905, p. 162 </w:t>
      </w:r>
      <w:r>
        <w:t>et suiv.</w:t>
      </w:r>
    </w:p>
  </w:footnote>
  <w:footnote w:id="383">
    <w:p w:rsidR="009A6BD2" w:rsidRDefault="003E2D0F">
      <w:pPr>
        <w:pStyle w:val="Testonotaapidipagina"/>
      </w:pPr>
      <w:r>
        <w:rPr>
          <w:rStyle w:val="Rimandonotaapidipagina"/>
        </w:rPr>
        <w:footnoteRef/>
      </w:r>
      <w:r>
        <w:t xml:space="preserve"> </w:t>
      </w:r>
      <w:r>
        <w:tab/>
        <w:t>Tout en ne voyant dans le totémisme qu'un système magique, FRAZER reconnaît qu'on y trouve parfois les premiers germes d'une religion proprement dite (Fortn. Rev., juillet 1905, p. 163). Sur la manière dont, suivant lui, la religion serait sort</w:t>
      </w:r>
      <w:r>
        <w:t>ie de la magie, v. Golden Bough 2, 1, pp. 75-78.</w:t>
      </w:r>
    </w:p>
  </w:footnote>
  <w:footnote w:id="384">
    <w:p w:rsidR="009A6BD2" w:rsidRDefault="003E2D0F">
      <w:pPr>
        <w:pStyle w:val="Testonotaapidipagina"/>
      </w:pPr>
      <w:r>
        <w:rPr>
          <w:rStyle w:val="Rimandonotaapidipagina"/>
        </w:rPr>
        <w:footnoteRef/>
      </w:r>
      <w:r>
        <w:t xml:space="preserve"> </w:t>
      </w:r>
      <w:r>
        <w:tab/>
        <w:t>Sur le totémisme, in Année sociol., V, pp. 82-121. Cf. sur cette même question, HARTLAND, Presidential Address, in Folk-lore, XI, p. 75; A. LANG, A Theory of Arunta Totemism, in Man, 1904, no 44; Concepti</w:t>
      </w:r>
      <w:r>
        <w:t>onal Totemism and Exogamy, ibid., 1907, no 55 ; The Secret of the Totem, chap. IV; N. W. Thomas, Arunta Totemism, in Man, 1904, no 68; P. W. SCHMIDT, Die Stellung der Aranda unter den Australischen Stämmen, in Zeilschrift für Ethnologie, 1908, p. 866 et su</w:t>
      </w:r>
      <w:r>
        <w:t>iv.</w:t>
      </w:r>
    </w:p>
  </w:footnote>
  <w:footnote w:id="385">
    <w:p w:rsidR="009A6BD2" w:rsidRDefault="003E2D0F">
      <w:pPr>
        <w:pStyle w:val="Testonotaapidipagina"/>
      </w:pPr>
      <w:r>
        <w:rPr>
          <w:rStyle w:val="Rimandonotaapidipagina"/>
        </w:rPr>
        <w:footnoteRef/>
      </w:r>
      <w:r>
        <w:t xml:space="preserve"> </w:t>
      </w:r>
      <w:r>
        <w:tab/>
        <w:t>Die Aranda, II, pp. 57-58.</w:t>
      </w:r>
    </w:p>
  </w:footnote>
  <w:footnote w:id="386">
    <w:p w:rsidR="009A6BD2" w:rsidRDefault="003E2D0F">
      <w:pPr>
        <w:pStyle w:val="Testonotaapidipagina"/>
      </w:pPr>
      <w:r>
        <w:rPr>
          <w:rStyle w:val="Rimandonotaapidipagina"/>
        </w:rPr>
        <w:footnoteRef/>
      </w:r>
      <w:r>
        <w:t xml:space="preserve"> </w:t>
      </w:r>
      <w:r>
        <w:tab/>
        <w:t>SCHULZE, loc. cit., pp. 238-239.</w:t>
      </w:r>
    </w:p>
  </w:footnote>
  <w:footnote w:id="387">
    <w:p w:rsidR="009A6BD2" w:rsidRDefault="003E2D0F">
      <w:pPr>
        <w:pStyle w:val="Testonotaapidipagina"/>
      </w:pPr>
      <w:r>
        <w:rPr>
          <w:rStyle w:val="Rimandonotaapidipagina"/>
        </w:rPr>
        <w:footnoteRef/>
      </w:r>
      <w:r>
        <w:t xml:space="preserve"> </w:t>
      </w:r>
      <w:r>
        <w:tab/>
        <w:t>Dans la conclusion de Totemism a. Exogamy (IV, pp. 58-59), FRAZER dit, il est vrai, qu'il existe un totémisme encore plus ancien que celui des Arunta: c'est celui que Rivers a observé</w:t>
      </w:r>
      <w:r>
        <w:t xml:space="preserve"> aux îles Banks (Totemism in Polynesia and Melanesia, in J.A.I., XXXIX, p. 172). Chez les Arunta, c'est un esprit d'ancêtre qui est censé féconder la mère ; aux îles Banks, c'est un esprit d'animal ou de végétal, comme le suppose la théorie. Mais comme les</w:t>
      </w:r>
      <w:r>
        <w:t xml:space="preserve"> esprits ancestraux des Arunta ont une forme animale ou végétale, la différence est ténue. Aussi, n'en avons-nous pas tenu compte dans notre exposé.</w:t>
      </w:r>
    </w:p>
  </w:footnote>
  <w:footnote w:id="388">
    <w:p w:rsidR="009A6BD2" w:rsidRDefault="003E2D0F">
      <w:pPr>
        <w:pStyle w:val="Testonotaapidipagina"/>
      </w:pPr>
      <w:r>
        <w:rPr>
          <w:rStyle w:val="Rimandonotaapidipagina"/>
        </w:rPr>
        <w:footnoteRef/>
      </w:r>
      <w:r>
        <w:t xml:space="preserve"> </w:t>
      </w:r>
      <w:r>
        <w:tab/>
        <w:t>Social Origins, Londres, 1903, particulièrement le chapitre VIII intitulé « The Origin of Totem Names an</w:t>
      </w:r>
      <w:r>
        <w:t>d Beliefs », et The Secret of the Totem, Londres, 1905.</w:t>
      </w:r>
    </w:p>
  </w:footnote>
  <w:footnote w:id="389">
    <w:p w:rsidR="009A6BD2" w:rsidRDefault="003E2D0F">
      <w:pPr>
        <w:pStyle w:val="Testonotaapidipagina"/>
      </w:pPr>
      <w:r>
        <w:rPr>
          <w:rStyle w:val="Rimandonotaapidipagina"/>
        </w:rPr>
        <w:footnoteRef/>
      </w:r>
      <w:r>
        <w:t xml:space="preserve"> </w:t>
      </w:r>
      <w:r>
        <w:tab/>
        <w:t>Surtout dans ses Social Origins, LANG essaie de reconstituer par voie de conjecture la forme que devaient avoir ces groupes primitifs; il nous paraît inutile de reproduire ces hypothèses qui n'affe</w:t>
      </w:r>
      <w:r>
        <w:t>ctent pas sa théorie du totémisme.</w:t>
      </w:r>
    </w:p>
  </w:footnote>
  <w:footnote w:id="390">
    <w:p w:rsidR="009A6BD2" w:rsidRDefault="003E2D0F">
      <w:pPr>
        <w:pStyle w:val="Testonotaapidipagina"/>
      </w:pPr>
      <w:r>
        <w:rPr>
          <w:rStyle w:val="Rimandonotaapidipagina"/>
        </w:rPr>
        <w:footnoteRef/>
      </w:r>
      <w:r>
        <w:t xml:space="preserve"> </w:t>
      </w:r>
      <w:r>
        <w:tab/>
        <w:t xml:space="preserve">Sur ce point, Lang se rapproche de la théorie de Julius Pikler (V. PIKLER et SZOMLO, Der Ursprung des Tolemismus. Ein Beitrag zur materialistischen Geschichtstheorie, Berlin, 36 p. in-8º). La différence entre les deux </w:t>
      </w:r>
      <w:r>
        <w:t>hypothèses, c'est que Pikler attribue plus d'importance à la représentation pictographique du nom qu'au nom lui-même.</w:t>
      </w:r>
    </w:p>
  </w:footnote>
  <w:footnote w:id="391">
    <w:p w:rsidR="009A6BD2" w:rsidRDefault="003E2D0F">
      <w:pPr>
        <w:pStyle w:val="Testonotaapidipagina"/>
      </w:pPr>
      <w:r>
        <w:rPr>
          <w:rStyle w:val="Rimandonotaapidipagina"/>
        </w:rPr>
        <w:footnoteRef/>
      </w:r>
      <w:r>
        <w:t xml:space="preserve"> </w:t>
      </w:r>
      <w:r>
        <w:tab/>
        <w:t>Social Origins, p. 166.</w:t>
      </w:r>
    </w:p>
  </w:footnote>
  <w:footnote w:id="392">
    <w:p w:rsidR="009A6BD2" w:rsidRDefault="003E2D0F">
      <w:pPr>
        <w:pStyle w:val="Testonotaapidipagina"/>
      </w:pPr>
      <w:r>
        <w:rPr>
          <w:rStyle w:val="Rimandonotaapidipagina"/>
        </w:rPr>
        <w:footnoteRef/>
      </w:r>
      <w:r>
        <w:t xml:space="preserve"> </w:t>
      </w:r>
      <w:r>
        <w:tab/>
        <w:t>The Secret of the Totem, p. 121 ; cf. pp. 116, 117.</w:t>
      </w:r>
    </w:p>
  </w:footnote>
  <w:footnote w:id="393">
    <w:p w:rsidR="009A6BD2" w:rsidRDefault="003E2D0F">
      <w:pPr>
        <w:pStyle w:val="Testonotaapidipagina"/>
      </w:pPr>
      <w:r>
        <w:rPr>
          <w:rStyle w:val="Rimandonotaapidipagina"/>
        </w:rPr>
        <w:footnoteRef/>
      </w:r>
      <w:r>
        <w:t xml:space="preserve"> </w:t>
      </w:r>
      <w:r>
        <w:tab/>
        <w:t>The Secret of the Totem, p. 136.</w:t>
      </w:r>
    </w:p>
  </w:footnote>
  <w:footnote w:id="394">
    <w:p w:rsidR="009A6BD2" w:rsidRDefault="003E2D0F">
      <w:pPr>
        <w:pStyle w:val="Testonotaapidipagina"/>
      </w:pPr>
      <w:r>
        <w:rPr>
          <w:rStyle w:val="Rimandonotaapidipagina"/>
        </w:rPr>
        <w:footnoteRef/>
      </w:r>
      <w:r>
        <w:t xml:space="preserve"> </w:t>
      </w:r>
      <w:r>
        <w:tab/>
        <w:t>J.A.I., août 1888</w:t>
      </w:r>
      <w:r>
        <w:t>, pp. 53-54. Cf. Nat. Tr., pp. 89, 488, 498.</w:t>
      </w:r>
    </w:p>
  </w:footnote>
  <w:footnote w:id="395">
    <w:p w:rsidR="009A6BD2" w:rsidRDefault="003E2D0F">
      <w:pPr>
        <w:pStyle w:val="Testonotaapidipagina"/>
      </w:pPr>
      <w:r>
        <w:rPr>
          <w:rStyle w:val="Rimandonotaapidipagina"/>
        </w:rPr>
        <w:footnoteRef/>
      </w:r>
      <w:r>
        <w:t xml:space="preserve"> </w:t>
      </w:r>
      <w:r>
        <w:tab/>
        <w:t>« With reverence », comme dit LANG (The Secret of the Totem, p. 111).</w:t>
      </w:r>
    </w:p>
  </w:footnote>
  <w:footnote w:id="396">
    <w:p w:rsidR="009A6BD2" w:rsidRDefault="003E2D0F">
      <w:pPr>
        <w:pStyle w:val="Testonotaapidipagina"/>
      </w:pPr>
      <w:r>
        <w:rPr>
          <w:rStyle w:val="Rimandonotaapidipagina"/>
        </w:rPr>
        <w:footnoteRef/>
      </w:r>
      <w:r>
        <w:t xml:space="preserve"> </w:t>
      </w:r>
      <w:r>
        <w:tab/>
        <w:t>À ces tabous, Lang ajoute ceux qui sont à la base des pratiques exogamiques.</w:t>
      </w:r>
    </w:p>
  </w:footnote>
  <w:footnote w:id="397">
    <w:p w:rsidR="009A6BD2" w:rsidRDefault="003E2D0F">
      <w:pPr>
        <w:pStyle w:val="Testonotaapidipagina"/>
      </w:pPr>
      <w:r>
        <w:rPr>
          <w:rStyle w:val="Rimandonotaapidipagina"/>
        </w:rPr>
        <w:footnoteRef/>
      </w:r>
      <w:r>
        <w:t xml:space="preserve"> </w:t>
      </w:r>
      <w:r>
        <w:tab/>
        <w:t>Ibid., pp. 136-137.</w:t>
      </w:r>
    </w:p>
  </w:footnote>
  <w:footnote w:id="398">
    <w:p w:rsidR="009A6BD2" w:rsidRDefault="003E2D0F">
      <w:pPr>
        <w:pStyle w:val="Testonotaapidipagina"/>
      </w:pPr>
      <w:r>
        <w:rPr>
          <w:rStyle w:val="Rimandonotaapidipagina"/>
        </w:rPr>
        <w:footnoteRef/>
      </w:r>
      <w:r>
        <w:t xml:space="preserve"> </w:t>
      </w:r>
      <w:r>
        <w:tab/>
        <w:t xml:space="preserve">Nous n'avons pourtant pas parlé </w:t>
      </w:r>
      <w:r>
        <w:t>de la théorie de Spencer. Mais c'est qu'elle n'est qu'un cas particulier de la théorie générale par laquelle il explique la transformation du culte des morts en culte de la nature. Comme nous l'avons exposée déjà, nous n'aurions pu que nous répéter.</w:t>
      </w:r>
    </w:p>
  </w:footnote>
  <w:footnote w:id="399">
    <w:p w:rsidR="009A6BD2" w:rsidRDefault="003E2D0F">
      <w:pPr>
        <w:pStyle w:val="Testonotaapidipagina"/>
      </w:pPr>
      <w:r>
        <w:rPr>
          <w:rStyle w:val="Rimandonotaapidipagina"/>
        </w:rPr>
        <w:footnoteRef/>
      </w:r>
      <w:r>
        <w:t xml:space="preserve"> </w:t>
      </w:r>
      <w:r>
        <w:tab/>
        <w:t>Sau</w:t>
      </w:r>
      <w:r>
        <w:t>f que Lang dérive d'une autre source l'idée des grands dieux: elle serait due, comme nous avons dit, à une sorte de révélation primitive. Mais Lang ne fait pas intervenir cette idée dans son explication du totémisme.</w:t>
      </w:r>
    </w:p>
  </w:footnote>
  <w:footnote w:id="400">
    <w:p w:rsidR="009A6BD2" w:rsidRDefault="003E2D0F">
      <w:pPr>
        <w:pStyle w:val="Testonotaapidipagina"/>
      </w:pPr>
      <w:r>
        <w:rPr>
          <w:rStyle w:val="Rimandonotaapidipagina"/>
        </w:rPr>
        <w:footnoteRef/>
      </w:r>
      <w:r>
        <w:t xml:space="preserve"> </w:t>
      </w:r>
      <w:r>
        <w:tab/>
        <w:t>Dans un mythe kwakiutl, par exemple,</w:t>
      </w:r>
      <w:r>
        <w:t xml:space="preserve"> un héros ancêtre perce la tête d'un ennemi en tendant le doigt vers lui (BOAS, Vth Rep. on the North. Tribes of Canada, B.A.A.S., 1889, p. 30).</w:t>
      </w:r>
    </w:p>
  </w:footnote>
  <w:footnote w:id="401">
    <w:p w:rsidR="009A6BD2" w:rsidRDefault="003E2D0F">
      <w:pPr>
        <w:pStyle w:val="Testonotaapidipagina"/>
      </w:pPr>
      <w:r>
        <w:rPr>
          <w:rStyle w:val="Rimandonotaapidipagina"/>
        </w:rPr>
        <w:footnoteRef/>
      </w:r>
      <w:r>
        <w:t xml:space="preserve"> </w:t>
      </w:r>
      <w:r>
        <w:tab/>
        <w:t>On trouvera les références à l'appui de cette assertion, p. 182, no 1, et p. 458, no 1.</w:t>
      </w:r>
    </w:p>
  </w:footnote>
  <w:footnote w:id="402">
    <w:p w:rsidR="009A6BD2" w:rsidRDefault="003E2D0F">
      <w:pPr>
        <w:pStyle w:val="Testonotaapidipagina"/>
      </w:pPr>
      <w:r>
        <w:rPr>
          <w:rStyle w:val="Rimandonotaapidipagina"/>
        </w:rPr>
        <w:footnoteRef/>
      </w:r>
      <w:r>
        <w:t xml:space="preserve"> </w:t>
      </w:r>
      <w:r>
        <w:tab/>
        <w:t>V. liv. II, chap.</w:t>
      </w:r>
      <w:r>
        <w:t xml:space="preserve"> IL</w:t>
      </w:r>
    </w:p>
  </w:footnote>
  <w:footnote w:id="403">
    <w:p w:rsidR="009A6BD2" w:rsidRDefault="003E2D0F">
      <w:pPr>
        <w:pStyle w:val="Testonotaapidipagina"/>
      </w:pPr>
      <w:r>
        <w:rPr>
          <w:rStyle w:val="Rimandonotaapidipagina"/>
        </w:rPr>
        <w:footnoteRef/>
      </w:r>
      <w:r>
        <w:t xml:space="preserve"> </w:t>
      </w:r>
      <w:r>
        <w:tab/>
        <w:t>V. par exemple, HOWITT, Bat. Tr., p. 482; SCRURMANN, The Aboriginal Tribes of Port Lincoln, in WOODS, Nat. Tr. or S. Australia, p. 231.</w:t>
      </w:r>
    </w:p>
  </w:footnote>
  <w:footnote w:id="404">
    <w:p w:rsidR="009A6BD2" w:rsidRDefault="003E2D0F">
      <w:pPr>
        <w:pStyle w:val="Testonotaapidipagina"/>
      </w:pPr>
      <w:r>
        <w:rPr>
          <w:rStyle w:val="Rimandonotaapidipagina"/>
        </w:rPr>
        <w:footnoteRef/>
      </w:r>
      <w:r>
        <w:t xml:space="preserve"> </w:t>
      </w:r>
      <w:r>
        <w:tab/>
        <w:t>FRAZER emprunte même à Samoa bien des faits qu'il présente comme proprement totémiques (v. Totemism, p. 6,12-1</w:t>
      </w:r>
      <w:r>
        <w:t>5,24, etc.). Nous avons dit, il est vrai, que Frazer n'apportait pas toujours une critique suffisante aux choix de ses exemples. Mais de si nombreux emprunts n'auraient évidemment pas été possibles s'il n'y avait pas réellement à Samoa d'importantes surviv</w:t>
      </w:r>
      <w:r>
        <w:t>ances de totémisme.</w:t>
      </w:r>
    </w:p>
  </w:footnote>
  <w:footnote w:id="405">
    <w:p w:rsidR="009A6BD2" w:rsidRDefault="003E2D0F">
      <w:pPr>
        <w:pStyle w:val="Testonotaapidipagina"/>
      </w:pPr>
      <w:r>
        <w:rPr>
          <w:rStyle w:val="Rimandonotaapidipagina"/>
        </w:rPr>
        <w:footnoteRef/>
      </w:r>
      <w:r>
        <w:t xml:space="preserve"> </w:t>
      </w:r>
      <w:r>
        <w:tab/>
        <w:t>V. TURNER, Samoa, p. 21, et chap. IV et V.</w:t>
      </w:r>
    </w:p>
  </w:footnote>
  <w:footnote w:id="406">
    <w:p w:rsidR="009A6BD2" w:rsidRDefault="003E2D0F">
      <w:pPr>
        <w:pStyle w:val="Testonotaapidipagina"/>
      </w:pPr>
      <w:r>
        <w:rPr>
          <w:rStyle w:val="Rimandonotaapidipagina"/>
        </w:rPr>
        <w:footnoteRef/>
      </w:r>
      <w:r>
        <w:t xml:space="preserve"> </w:t>
      </w:r>
      <w:r>
        <w:tab/>
        <w:t>Alice FLETCHER, A Study of the Omaha Tribe, in Smithsonian Rep. for 1897, pp. 5S2-583.</w:t>
      </w:r>
    </w:p>
  </w:footnote>
  <w:footnote w:id="407">
    <w:p w:rsidR="009A6BD2" w:rsidRDefault="003E2D0F">
      <w:pPr>
        <w:pStyle w:val="Testonotaapidipagina"/>
      </w:pPr>
      <w:r>
        <w:rPr>
          <w:rStyle w:val="Rimandonotaapidipagina"/>
        </w:rPr>
        <w:footnoteRef/>
      </w:r>
      <w:r>
        <w:t xml:space="preserve"> </w:t>
      </w:r>
      <w:r>
        <w:tab/>
        <w:t>DORSEY, Siouan Sociology, in XVth Rep., p. 238.</w:t>
      </w:r>
    </w:p>
  </w:footnote>
  <w:footnote w:id="408">
    <w:p w:rsidR="009A6BD2" w:rsidRDefault="003E2D0F">
      <w:pPr>
        <w:pStyle w:val="Testonotaapidipagina"/>
      </w:pPr>
      <w:r>
        <w:rPr>
          <w:rStyle w:val="Rimandonotaapidipagina"/>
        </w:rPr>
        <w:footnoteRef/>
      </w:r>
      <w:r>
        <w:t xml:space="preserve"> </w:t>
      </w:r>
      <w:r>
        <w:tab/>
        <w:t>Siouan Sociology, p. 221.</w:t>
      </w:r>
    </w:p>
  </w:footnote>
  <w:footnote w:id="409">
    <w:p w:rsidR="009A6BD2" w:rsidRDefault="003E2D0F">
      <w:pPr>
        <w:pStyle w:val="Testonotaapidipagina"/>
      </w:pPr>
      <w:r>
        <w:rPr>
          <w:rStyle w:val="Rimandonotaapidipagina"/>
        </w:rPr>
        <w:footnoteRef/>
      </w:r>
      <w:r>
        <w:t xml:space="preserve"> </w:t>
      </w:r>
      <w:r>
        <w:tab/>
        <w:t xml:space="preserve">RIGGS et DORSEY, </w:t>
      </w:r>
      <w:r>
        <w:t>Dakota English Dictionary, in Contrib. N. Amer. Ethnol., VII, p. 508, Plusieurs des observateurs cités par Dorsey identifient au mot wakan les mots wakanda et wakanta qui en sont dérivés, mais qui ont en réalité une signification plus précise.</w:t>
      </w:r>
    </w:p>
  </w:footnote>
  <w:footnote w:id="410">
    <w:p w:rsidR="009A6BD2" w:rsidRDefault="003E2D0F">
      <w:pPr>
        <w:pStyle w:val="Testonotaapidipagina"/>
      </w:pPr>
      <w:r>
        <w:rPr>
          <w:rStyle w:val="Rimandonotaapidipagina"/>
        </w:rPr>
        <w:footnoteRef/>
      </w:r>
      <w:r>
        <w:t xml:space="preserve"> </w:t>
      </w:r>
      <w:r>
        <w:tab/>
        <w:t>XIth Rep.</w:t>
      </w:r>
      <w:r>
        <w:t>, p. 372, § 21. Miss FLETCHER, tout en reconnaissant non moins nettement le caractère impersonnel du wakanda, ajoute pourtant que, sur cette conception, est venu se greffer un certain anthropomorphisme. Mais cet anthropomorphisme concerne les manifestation</w:t>
      </w:r>
      <w:r>
        <w:t>s diverses du wakanda. On s'adresse au rocher, à l'arbre où l'on croit sentir du wakanda, comme s'ils étaient des êtres personnels. Mais le wakanda lui-même n'est pas personnifié (Smithsonian Rep. f. 1897, p. 579).</w:t>
      </w:r>
    </w:p>
  </w:footnote>
  <w:footnote w:id="411">
    <w:p w:rsidR="009A6BD2" w:rsidRDefault="003E2D0F">
      <w:pPr>
        <w:pStyle w:val="Testonotaapidipagina"/>
      </w:pPr>
      <w:r>
        <w:rPr>
          <w:rStyle w:val="Rimandonotaapidipagina"/>
        </w:rPr>
        <w:footnoteRef/>
      </w:r>
      <w:r>
        <w:t xml:space="preserve"> </w:t>
      </w:r>
      <w:r>
        <w:tab/>
        <w:t>RIGGS, Tah-Koo Wah-Kon, pp. 56-57, cit</w:t>
      </w:r>
      <w:r>
        <w:t>é d'après DORSEY, XIth Rep., p. 433, § 95.</w:t>
      </w:r>
    </w:p>
  </w:footnote>
  <w:footnote w:id="412">
    <w:p w:rsidR="009A6BD2" w:rsidRDefault="003E2D0F">
      <w:pPr>
        <w:pStyle w:val="Testonotaapidipagina"/>
      </w:pPr>
      <w:r>
        <w:rPr>
          <w:rStyle w:val="Rimandonotaapidipagina"/>
        </w:rPr>
        <w:footnoteRef/>
      </w:r>
      <w:r>
        <w:t xml:space="preserve"> </w:t>
      </w:r>
      <w:r>
        <w:tab/>
        <w:t>XIth Rep., p. 380, § 33.</w:t>
      </w:r>
    </w:p>
  </w:footnote>
  <w:footnote w:id="413">
    <w:p w:rsidR="009A6BD2" w:rsidRDefault="003E2D0F">
      <w:pPr>
        <w:pStyle w:val="Testonotaapidipagina"/>
      </w:pPr>
      <w:r>
        <w:rPr>
          <w:rStyle w:val="Rimandonotaapidipagina"/>
        </w:rPr>
        <w:footnoteRef/>
      </w:r>
      <w:r>
        <w:t xml:space="preserve"> </w:t>
      </w:r>
      <w:r>
        <w:tab/>
        <w:t>Ibid., p. 381, § 35.</w:t>
      </w:r>
    </w:p>
  </w:footnote>
  <w:footnote w:id="414">
    <w:p w:rsidR="009A6BD2" w:rsidRDefault="003E2D0F">
      <w:pPr>
        <w:pStyle w:val="Testonotaapidipagina"/>
      </w:pPr>
      <w:r>
        <w:rPr>
          <w:rStyle w:val="Rimandonotaapidipagina"/>
        </w:rPr>
        <w:footnoteRef/>
      </w:r>
      <w:r>
        <w:t xml:space="preserve"> </w:t>
      </w:r>
      <w:r>
        <w:tab/>
        <w:t>Ibid., p. 376, § 28, p. 378, § 30. Cf. p. 449, § 138.</w:t>
      </w:r>
    </w:p>
  </w:footnote>
  <w:footnote w:id="415">
    <w:p w:rsidR="009A6BD2" w:rsidRDefault="003E2D0F">
      <w:pPr>
        <w:pStyle w:val="Testonotaapidipagina"/>
      </w:pPr>
      <w:r>
        <w:rPr>
          <w:rStyle w:val="Rimandonotaapidipagina"/>
        </w:rPr>
        <w:footnoteRef/>
      </w:r>
      <w:r>
        <w:t xml:space="preserve"> </w:t>
      </w:r>
      <w:r>
        <w:tab/>
        <w:t>Ibid., p. 432 § 95.</w:t>
      </w:r>
    </w:p>
  </w:footnote>
  <w:footnote w:id="416">
    <w:p w:rsidR="009A6BD2" w:rsidRDefault="003E2D0F">
      <w:pPr>
        <w:pStyle w:val="Testonotaapidipagina"/>
      </w:pPr>
      <w:r>
        <w:rPr>
          <w:rStyle w:val="Rimandonotaapidipagina"/>
        </w:rPr>
        <w:footnoteRef/>
      </w:r>
      <w:r>
        <w:t xml:space="preserve"> </w:t>
      </w:r>
      <w:r>
        <w:tab/>
        <w:t>XIth Rep., p. 431, § 92.</w:t>
      </w:r>
    </w:p>
  </w:footnote>
  <w:footnote w:id="417">
    <w:p w:rsidR="009A6BD2" w:rsidRDefault="003E2D0F">
      <w:pPr>
        <w:pStyle w:val="Testonotaapidipagina"/>
      </w:pPr>
      <w:r>
        <w:rPr>
          <w:rStyle w:val="Rimandonotaapidipagina"/>
        </w:rPr>
        <w:footnoteRef/>
      </w:r>
      <w:r>
        <w:t xml:space="preserve"> </w:t>
      </w:r>
      <w:r>
        <w:tab/>
        <w:t>Ibid., p. 433, § 95.</w:t>
      </w:r>
    </w:p>
  </w:footnote>
  <w:footnote w:id="418">
    <w:p w:rsidR="009A6BD2" w:rsidRDefault="003E2D0F">
      <w:pPr>
        <w:pStyle w:val="Testonotaapidipagina"/>
      </w:pPr>
      <w:r>
        <w:rPr>
          <w:rStyle w:val="Rimandonotaapidipagina"/>
        </w:rPr>
        <w:footnoteRef/>
      </w:r>
      <w:r>
        <w:t xml:space="preserve"> </w:t>
      </w:r>
      <w:r>
        <w:tab/>
        <w:t>Orenda and a Definition of</w:t>
      </w:r>
      <w:r>
        <w:t xml:space="preserve"> Religion, in American Anthropologist, 1902, p. 33.</w:t>
      </w:r>
    </w:p>
  </w:footnote>
  <w:footnote w:id="419">
    <w:p w:rsidR="009A6BD2" w:rsidRDefault="003E2D0F">
      <w:pPr>
        <w:pStyle w:val="Testonotaapidipagina"/>
      </w:pPr>
      <w:r>
        <w:rPr>
          <w:rStyle w:val="Rimandonotaapidipagina"/>
        </w:rPr>
        <w:footnoteRef/>
      </w:r>
      <w:r>
        <w:t xml:space="preserve"> </w:t>
      </w:r>
      <w:r>
        <w:tab/>
        <w:t>Ibid., p. 36.</w:t>
      </w:r>
    </w:p>
  </w:footnote>
  <w:footnote w:id="420">
    <w:p w:rsidR="009A6BD2" w:rsidRDefault="003E2D0F">
      <w:pPr>
        <w:pStyle w:val="Testonotaapidipagina"/>
      </w:pPr>
      <w:r>
        <w:rPr>
          <w:rStyle w:val="Rimandonotaapidipagina"/>
        </w:rPr>
        <w:footnoteRef/>
      </w:r>
      <w:r>
        <w:t xml:space="preserve"> </w:t>
      </w:r>
      <w:r>
        <w:tab/>
        <w:t>Tesa Studi del Thavenet, p. 17.</w:t>
      </w:r>
    </w:p>
  </w:footnote>
  <w:footnote w:id="421">
    <w:p w:rsidR="009A6BD2" w:rsidRDefault="003E2D0F">
      <w:pPr>
        <w:pStyle w:val="Testonotaapidipagina"/>
      </w:pPr>
      <w:r>
        <w:rPr>
          <w:rStyle w:val="Rimandonotaapidipagina"/>
        </w:rPr>
        <w:footnoteRef/>
      </w:r>
      <w:r>
        <w:t xml:space="preserve"> </w:t>
      </w:r>
      <w:r>
        <w:tab/>
        <w:t>BOAS, The Kwakiutl, p. 695.</w:t>
      </w:r>
    </w:p>
  </w:footnote>
  <w:footnote w:id="422">
    <w:p w:rsidR="009A6BD2" w:rsidRDefault="003E2D0F">
      <w:pPr>
        <w:pStyle w:val="Testonotaapidipagina"/>
      </w:pPr>
      <w:r>
        <w:rPr>
          <w:rStyle w:val="Rimandonotaapidipagina"/>
        </w:rPr>
        <w:footnoteRef/>
      </w:r>
      <w:r>
        <w:t xml:space="preserve"> </w:t>
      </w:r>
      <w:r>
        <w:tab/>
        <w:t>SWANTON, Social Condition, Beliefs a. Linguistic Relationship of the Tlingit Indians, XXVIth Rep., 1905, p. 451, no 3.</w:t>
      </w:r>
    </w:p>
  </w:footnote>
  <w:footnote w:id="423">
    <w:p w:rsidR="009A6BD2" w:rsidRDefault="003E2D0F">
      <w:pPr>
        <w:pStyle w:val="Testonotaapidipagina"/>
      </w:pPr>
      <w:r>
        <w:rPr>
          <w:rStyle w:val="Rimandonotaapidipagina"/>
        </w:rPr>
        <w:footnoteRef/>
      </w:r>
      <w:r>
        <w:t xml:space="preserve"> </w:t>
      </w:r>
      <w:r>
        <w:tab/>
        <w:t>SWANTON, Contributions to the Ethnology of the Haida, p. 14. Cf. Social Condition, etc., p. 479.</w:t>
      </w:r>
    </w:p>
  </w:footnote>
  <w:footnote w:id="424">
    <w:p w:rsidR="009A6BD2" w:rsidRDefault="003E2D0F">
      <w:pPr>
        <w:pStyle w:val="Testonotaapidipagina"/>
      </w:pPr>
      <w:r>
        <w:rPr>
          <w:rStyle w:val="Rimandonotaapidipagina"/>
        </w:rPr>
        <w:footnoteRef/>
      </w:r>
      <w:r>
        <w:t xml:space="preserve"> </w:t>
      </w:r>
      <w:r>
        <w:tab/>
        <w:t>Dans certaines sociétés mélanésiennes (Iles Banks, Nouvelles Hébrides du Nord), on retrouve les deux phratries exogamiques. qui caractérisent l'organisa</w:t>
      </w:r>
      <w:r>
        <w:t xml:space="preserve">tion australienne (CODRINGTON, The Melanesians, p. 23 et suiv.). A Florida, il existe, sous le nom de butose de véritables totems (ibid., p. 31). On trouvera une intéressante discussion sur ce point dans A. LANG, Social Origins, p. 176 et suiv. Cf. sur le </w:t>
      </w:r>
      <w:r>
        <w:t>même sujet, et dans le même sens, W. H. R. Rivers, Totemism in Polynesia and Melanesia, in J.A.I., XXXIX, p. 156 et suiv.</w:t>
      </w:r>
    </w:p>
  </w:footnote>
  <w:footnote w:id="425">
    <w:p w:rsidR="009A6BD2" w:rsidRDefault="003E2D0F">
      <w:pPr>
        <w:pStyle w:val="Testonotaapidipagina"/>
      </w:pPr>
      <w:r>
        <w:rPr>
          <w:rStyle w:val="Rimandonotaapidipagina"/>
        </w:rPr>
        <w:footnoteRef/>
      </w:r>
      <w:r>
        <w:t xml:space="preserve"> </w:t>
      </w:r>
      <w:r>
        <w:tab/>
        <w:t>The Melanesians, p. 118, no 1. PARKINSON, Dressig Jahre in der Südsee, pp. 178, 392, 394, etc.</w:t>
      </w:r>
    </w:p>
  </w:footnote>
  <w:footnote w:id="426">
    <w:p w:rsidR="009A6BD2" w:rsidRDefault="003E2D0F">
      <w:pPr>
        <w:pStyle w:val="Testonotaapidipagina"/>
      </w:pPr>
      <w:r>
        <w:rPr>
          <w:rStyle w:val="Rimandonotaapidipagina"/>
        </w:rPr>
        <w:footnoteRef/>
      </w:r>
      <w:r>
        <w:t xml:space="preserve"> </w:t>
      </w:r>
      <w:r>
        <w:tab/>
        <w:t xml:space="preserve">On trouvera une analyse de cette </w:t>
      </w:r>
      <w:r>
        <w:t>notion dans HUBERT et MAUSS, Théorie générale de la Magie, in Année sociol., VII, p. 108.</w:t>
      </w:r>
    </w:p>
  </w:footnote>
  <w:footnote w:id="427">
    <w:p w:rsidR="009A6BD2" w:rsidRDefault="003E2D0F">
      <w:pPr>
        <w:pStyle w:val="Testonotaapidipagina"/>
      </w:pPr>
      <w:r>
        <w:rPr>
          <w:rStyle w:val="Rimandonotaapidipagina"/>
        </w:rPr>
        <w:footnoteRef/>
      </w:r>
      <w:r>
        <w:t xml:space="preserve"> </w:t>
      </w:r>
      <w:r>
        <w:tab/>
        <w:t>Il y a non seulement des totems de clans, mais aussi de confréries (A. FLETCHER, Smiths. Rep., 1897, p. 581 et suiv.).</w:t>
      </w:r>
    </w:p>
  </w:footnote>
  <w:footnote w:id="428">
    <w:p w:rsidR="009A6BD2" w:rsidRDefault="003E2D0F">
      <w:pPr>
        <w:pStyle w:val="Testonotaapidipagina"/>
      </w:pPr>
      <w:r>
        <w:rPr>
          <w:rStyle w:val="Rimandonotaapidipagina"/>
        </w:rPr>
        <w:footnoteRef/>
      </w:r>
      <w:r>
        <w:t xml:space="preserve"> </w:t>
      </w:r>
      <w:r>
        <w:tab/>
        <w:t>FLETCHER, op. cit., pp. 578-579.</w:t>
      </w:r>
    </w:p>
  </w:footnote>
  <w:footnote w:id="429">
    <w:p w:rsidR="009A6BD2" w:rsidRDefault="003E2D0F">
      <w:pPr>
        <w:pStyle w:val="Testonotaapidipagina"/>
      </w:pPr>
      <w:r>
        <w:rPr>
          <w:rStyle w:val="Rimandonotaapidipagina"/>
        </w:rPr>
        <w:footnoteRef/>
      </w:r>
      <w:r>
        <w:t xml:space="preserve"> </w:t>
      </w:r>
      <w:r>
        <w:tab/>
        <w:t>Ibid.</w:t>
      </w:r>
      <w:r>
        <w:t>, p. 583. Chez les Dakota, le totem est appelé Wakan. V. RIGGS et DORSEY, Dakota Grammar, Texts a. Ethnog., in Contributions N. Amer. Ethn., 1893, p. 219.</w:t>
      </w:r>
    </w:p>
  </w:footnote>
  <w:footnote w:id="430">
    <w:p w:rsidR="009A6BD2" w:rsidRDefault="003E2D0F">
      <w:pPr>
        <w:pStyle w:val="Testonotaapidipagina"/>
      </w:pPr>
      <w:r>
        <w:rPr>
          <w:rStyle w:val="Rimandonotaapidipagina"/>
        </w:rPr>
        <w:footnoteRef/>
      </w:r>
      <w:r>
        <w:t xml:space="preserve"> </w:t>
      </w:r>
      <w:r>
        <w:tab/>
        <w:t>James's Account of Long's Exped. Rocky Mountains, I, p. 268 (cité par DORSEY, XIth Rep., p. 431, §</w:t>
      </w:r>
      <w:r>
        <w:t xml:space="preserve"> 92).</w:t>
      </w:r>
    </w:p>
  </w:footnote>
  <w:footnote w:id="431">
    <w:p w:rsidR="009A6BD2" w:rsidRDefault="003E2D0F">
      <w:pPr>
        <w:pStyle w:val="Testonotaapidipagina"/>
      </w:pPr>
      <w:r>
        <w:rPr>
          <w:rStyle w:val="Rimandonotaapidipagina"/>
        </w:rPr>
        <w:footnoteRef/>
      </w:r>
      <w:r>
        <w:t xml:space="preserve"> </w:t>
      </w:r>
      <w:r>
        <w:tab/>
        <w:t>Nous n'entendons pas soutenir qu'en principe toute représentation thériomorphique des forces religieuses soit l'indice d'un totémisme préexistant. Mais quand il s'agit, comme c'est le cas des Dakota, de sociétés où le totémisme est encore apparent</w:t>
      </w:r>
      <w:r>
        <w:t>, il est naturel de penser qu'il n'est pas étranger à ces conceptions.</w:t>
      </w:r>
    </w:p>
  </w:footnote>
  <w:footnote w:id="432">
    <w:p w:rsidR="009A6BD2" w:rsidRDefault="003E2D0F">
      <w:pPr>
        <w:pStyle w:val="Testonotaapidipagina"/>
      </w:pPr>
      <w:r>
        <w:rPr>
          <w:rStyle w:val="Rimandonotaapidipagina"/>
        </w:rPr>
        <w:footnoteRef/>
      </w:r>
      <w:r>
        <w:t xml:space="preserve"> </w:t>
      </w:r>
      <w:r>
        <w:tab/>
        <w:t>V. plus loin, même livre chap. IX, §, p. 409 et suiv.</w:t>
      </w:r>
    </w:p>
  </w:footnote>
  <w:footnote w:id="433">
    <w:p w:rsidR="009A6BD2" w:rsidRDefault="003E2D0F">
      <w:pPr>
        <w:pStyle w:val="Testonotaapidipagina"/>
      </w:pPr>
      <w:r>
        <w:rPr>
          <w:rStyle w:val="Rimandonotaapidipagina"/>
        </w:rPr>
        <w:footnoteRef/>
      </w:r>
      <w:r>
        <w:t xml:space="preserve"> </w:t>
      </w:r>
      <w:r>
        <w:tab/>
        <w:t>La première orthographe est celle de Spencer et Gillen; la seconde, celle de Strehlow.</w:t>
      </w:r>
    </w:p>
  </w:footnote>
  <w:footnote w:id="434">
    <w:p w:rsidR="009A6BD2" w:rsidRDefault="003E2D0F">
      <w:pPr>
        <w:pStyle w:val="Testonotaapidipagina"/>
      </w:pPr>
      <w:r>
        <w:rPr>
          <w:rStyle w:val="Rimandonotaapidipagina"/>
        </w:rPr>
        <w:footnoteRef/>
      </w:r>
      <w:r>
        <w:t xml:space="preserve"> </w:t>
      </w:r>
      <w:r>
        <w:tab/>
        <w:t>Nat. Tr., p. 548, no 1. Il est vrai</w:t>
      </w:r>
      <w:r>
        <w:t xml:space="preserve"> que Spencer et Gillen ajoutent : « La meilleure manière de rendre l'idée serait de dire que l'objet arungquiltha est possédé par un mauvais esprit. » Mais cette libre traduction est une interprétation de Spencer et Gillen, que rien ne justifie. La notion </w:t>
      </w:r>
      <w:r>
        <w:t>de l'arungquiltha n'implique aucunement l'existence d'êtres spirituels. C'est ce qui résulte du contexte et de la définition de Strehlow.</w:t>
      </w:r>
    </w:p>
  </w:footnote>
  <w:footnote w:id="435">
    <w:p w:rsidR="009A6BD2" w:rsidRDefault="003E2D0F">
      <w:pPr>
        <w:pStyle w:val="Testonotaapidipagina"/>
      </w:pPr>
      <w:r>
        <w:rPr>
          <w:rStyle w:val="Rimandonotaapidipagina"/>
        </w:rPr>
        <w:footnoteRef/>
      </w:r>
      <w:r>
        <w:t xml:space="preserve"> </w:t>
      </w:r>
      <w:r>
        <w:tab/>
        <w:t>Die Aranda, etc., II, p. 76, note.</w:t>
      </w:r>
    </w:p>
  </w:footnote>
  <w:footnote w:id="436">
    <w:p w:rsidR="009A6BD2" w:rsidRDefault="003E2D0F">
      <w:pPr>
        <w:pStyle w:val="Testonotaapidipagina"/>
      </w:pPr>
      <w:r>
        <w:rPr>
          <w:rStyle w:val="Rimandonotaapidipagina"/>
        </w:rPr>
        <w:footnoteRef/>
      </w:r>
      <w:r>
        <w:t xml:space="preserve"> </w:t>
      </w:r>
      <w:r>
        <w:tab/>
        <w:t xml:space="preserve">Sous le nom de Boyl-ya (v. BREY, Journals of Two Expeditions of Discovery in </w:t>
      </w:r>
      <w:r>
        <w:t>N. W. and W. Australia, II, pp. 337-338).</w:t>
      </w:r>
    </w:p>
  </w:footnote>
  <w:footnote w:id="437">
    <w:p w:rsidR="009A6BD2" w:rsidRDefault="003E2D0F">
      <w:pPr>
        <w:pStyle w:val="Testonotaapidipagina"/>
      </w:pPr>
      <w:r>
        <w:rPr>
          <w:rStyle w:val="Rimandonotaapidipagina"/>
        </w:rPr>
        <w:footnoteRef/>
      </w:r>
      <w:r>
        <w:t xml:space="preserve"> </w:t>
      </w:r>
      <w:r>
        <w:tab/>
        <w:t xml:space="preserve">V. plus haut p. 58. C'est, d'ailleurs, ce que reconnaissent implicitement Spencer et Gillen quand ils disent que l'arungquiltha est « une force surnaturelle ». Cf. HUBERT et Mauss, Théorie générale de la magie, </w:t>
      </w:r>
      <w:r>
        <w:t>in Année sociol., VII, p. 119.</w:t>
      </w:r>
    </w:p>
  </w:footnote>
  <w:footnote w:id="438">
    <w:p w:rsidR="009A6BD2" w:rsidRDefault="003E2D0F">
      <w:pPr>
        <w:pStyle w:val="Testonotaapidipagina"/>
      </w:pPr>
      <w:r>
        <w:rPr>
          <w:rStyle w:val="Rimandonotaapidipagina"/>
        </w:rPr>
        <w:footnoteRef/>
      </w:r>
      <w:r>
        <w:t xml:space="preserve"> </w:t>
      </w:r>
      <w:r>
        <w:tab/>
        <w:t>CODRINGTON, The Melanesians, p. 191 et suiv.</w:t>
      </w:r>
    </w:p>
  </w:footnote>
  <w:footnote w:id="439">
    <w:p w:rsidR="009A6BD2" w:rsidRDefault="003E2D0F">
      <w:pPr>
        <w:pStyle w:val="Testonotaapidipagina"/>
      </w:pPr>
      <w:r>
        <w:rPr>
          <w:rStyle w:val="Rimandonotaapidipagina"/>
        </w:rPr>
        <w:footnoteRef/>
      </w:r>
      <w:r>
        <w:t xml:space="preserve"> </w:t>
      </w:r>
      <w:r>
        <w:tab/>
        <w:t>HEWITT, loc. cit., p. 38.</w:t>
      </w:r>
    </w:p>
  </w:footnote>
  <w:footnote w:id="440">
    <w:p w:rsidR="009A6BD2" w:rsidRDefault="003E2D0F">
      <w:pPr>
        <w:pStyle w:val="Testonotaapidipagina"/>
      </w:pPr>
      <w:r>
        <w:rPr>
          <w:rStyle w:val="Rimandonotaapidipagina"/>
        </w:rPr>
        <w:footnoteRef/>
      </w:r>
      <w:r>
        <w:t xml:space="preserve"> </w:t>
      </w:r>
      <w:r>
        <w:tab/>
        <w:t>On peut même se demander si tout concept analogue à celui de wakan ou de mana manque en Australie. Le mot de churinga ou de tjurunga, comme écrit</w:t>
      </w:r>
      <w:r>
        <w:t xml:space="preserve"> Strehlow, a en effet, chez les Arunta, une signification très voisine. Ce terme, disent SPENCER et GILLEN, désigne a tout ce qui est secret ou sacré. Il s'applique aussi bien à un objet qu'à la qualité qu'il possède - (Nat. Tr., p. 648, s. v. Churinga ). </w:t>
      </w:r>
      <w:r>
        <w:t>C'est presque la définition du mana. Il arrive même que Spencer et Gillen se servent de cette expression pour désigner le pouvoir, la force religieuse d'une manière générale. En décrivant une cérémonie chez les Kaitish, ils disent que l'officiant est « ple</w:t>
      </w:r>
      <w:r>
        <w:t>in de churinga (full of churinga) P c'est-à-dire, continuent-ils, du « pouvoir magique qui émane des objets appelés churinga », Cependant, il ne semble pas que la notion de churinga soit constituée en Australie avec la netteté et la précision qu'à la notio</w:t>
      </w:r>
      <w:r>
        <w:t>n de mana en Mélanésie, ou celle de wakan chez les Sioux.</w:t>
      </w:r>
    </w:p>
  </w:footnote>
  <w:footnote w:id="441">
    <w:p w:rsidR="009A6BD2" w:rsidRDefault="003E2D0F">
      <w:pPr>
        <w:pStyle w:val="Testonotaapidipagina"/>
      </w:pPr>
      <w:r>
        <w:rPr>
          <w:rStyle w:val="Rimandonotaapidipagina"/>
        </w:rPr>
        <w:footnoteRef/>
      </w:r>
      <w:r>
        <w:t xml:space="preserve"> </w:t>
      </w:r>
      <w:r>
        <w:tab/>
        <w:t>Sans doute, nous verrons plus loin (même livre, chap. VIII et IX) que le totémisme n'est pas étranger à toute idée de personnalité mythique. Mais nous montrerons que ces conceptions sont le produ</w:t>
      </w:r>
      <w:r>
        <w:t>it de formations secondaires : elles dérivent des croyances qui viennent d'être analysées, loin d'en être la base.</w:t>
      </w:r>
    </w:p>
  </w:footnote>
  <w:footnote w:id="442">
    <w:p w:rsidR="009A6BD2" w:rsidRDefault="003E2D0F">
      <w:pPr>
        <w:pStyle w:val="Testonotaapidipagina"/>
      </w:pPr>
      <w:r>
        <w:rPr>
          <w:rStyle w:val="Rimandonotaapidipagina"/>
        </w:rPr>
        <w:footnoteRef/>
      </w:r>
      <w:r>
        <w:t xml:space="preserve"> </w:t>
      </w:r>
      <w:r>
        <w:tab/>
        <w:t>Loc. cit., p. 38.</w:t>
      </w:r>
    </w:p>
  </w:footnote>
  <w:footnote w:id="443">
    <w:p w:rsidR="009A6BD2" w:rsidRDefault="003E2D0F">
      <w:pPr>
        <w:pStyle w:val="Testonotaapidipagina"/>
      </w:pPr>
      <w:r>
        <w:rPr>
          <w:rStyle w:val="Rimandonotaapidipagina"/>
        </w:rPr>
        <w:footnoteRef/>
      </w:r>
      <w:r>
        <w:t xml:space="preserve"> </w:t>
      </w:r>
      <w:r>
        <w:tab/>
        <w:t>Rep. Peabody Museum, Ill, p. 276, note (cité par NORSEY, XIth Rep., p. 435).</w:t>
      </w:r>
    </w:p>
  </w:footnote>
  <w:footnote w:id="444">
    <w:p w:rsidR="009A6BD2" w:rsidRDefault="003E2D0F">
      <w:pPr>
        <w:pStyle w:val="Testonotaapidipagina"/>
      </w:pPr>
      <w:r>
        <w:rPr>
          <w:rStyle w:val="Rimandonotaapidipagina"/>
        </w:rPr>
        <w:footnoteRef/>
      </w:r>
      <w:r>
        <w:t xml:space="preserve"> </w:t>
      </w:r>
      <w:r>
        <w:tab/>
        <w:t>V. plus haut p. 48.</w:t>
      </w:r>
    </w:p>
  </w:footnote>
  <w:footnote w:id="445">
    <w:p w:rsidR="009A6BD2" w:rsidRDefault="003E2D0F">
      <w:pPr>
        <w:pStyle w:val="Testonotaapidipagina"/>
      </w:pPr>
      <w:r>
        <w:rPr>
          <w:rStyle w:val="Rimandonotaapidipagina"/>
        </w:rPr>
        <w:footnoteRef/>
      </w:r>
      <w:r>
        <w:t xml:space="preserve"> </w:t>
      </w:r>
      <w:r>
        <w:tab/>
        <w:t>Des expression</w:t>
      </w:r>
      <w:r>
        <w:t xml:space="preserve">s comme </w:t>
      </w:r>
      <w:r>
        <w:rPr>
          <w:i/>
          <w:iCs/>
        </w:rPr>
        <w:t>Zeus huei</w:t>
      </w:r>
      <w:r>
        <w:t xml:space="preserve">, comme </w:t>
      </w:r>
      <w:r>
        <w:rPr>
          <w:i/>
          <w:iCs/>
        </w:rPr>
        <w:t>Ceres succiditur</w:t>
      </w:r>
      <w:r>
        <w:t xml:space="preserve">, montrent que cette conception survivait en Grèce comme à Rome. D'ailleurs, USENER, dans ses </w:t>
      </w:r>
      <w:r>
        <w:rPr>
          <w:i/>
          <w:iCs/>
        </w:rPr>
        <w:t>Götternamen</w:t>
      </w:r>
      <w:r>
        <w:t>, a bien montré que les dieux de la Grèce, comme ceux de Rome, étaient primitivement des forces impersonnelles</w:t>
      </w:r>
      <w:r>
        <w:t xml:space="preserve"> qui ne se pensaient qu'en fonction de leurs attributions.</w:t>
      </w:r>
    </w:p>
  </w:footnote>
  <w:footnote w:id="446">
    <w:p w:rsidR="009A6BD2" w:rsidRDefault="003E2D0F">
      <w:pPr>
        <w:pStyle w:val="Testonotaapidipagina"/>
      </w:pPr>
      <w:r>
        <w:rPr>
          <w:rStyle w:val="Rimandonotaapidipagina"/>
        </w:rPr>
        <w:footnoteRef/>
      </w:r>
      <w:r>
        <w:t xml:space="preserve"> </w:t>
      </w:r>
      <w:r>
        <w:tab/>
        <w:t>Définition du phénomène religieux, in Année sociol., II, pp. 14-16.</w:t>
      </w:r>
    </w:p>
  </w:footnote>
  <w:footnote w:id="447">
    <w:p w:rsidR="009A6BD2" w:rsidRDefault="003E2D0F">
      <w:pPr>
        <w:pStyle w:val="Testonotaapidipagina"/>
      </w:pPr>
      <w:r>
        <w:rPr>
          <w:rStyle w:val="Rimandonotaapidipagina"/>
        </w:rPr>
        <w:footnoteRef/>
      </w:r>
      <w:r>
        <w:t xml:space="preserve"> </w:t>
      </w:r>
      <w:r>
        <w:tab/>
        <w:t>Preanimistic Religion, in Folk-lore, 1900, pp. 162-182.</w:t>
      </w:r>
    </w:p>
  </w:footnote>
  <w:footnote w:id="448">
    <w:p w:rsidR="009A6BD2" w:rsidRDefault="003E2D0F">
      <w:pPr>
        <w:pStyle w:val="Testonotaapidipagina"/>
      </w:pPr>
      <w:r>
        <w:rPr>
          <w:rStyle w:val="Rimandonotaapidipagina"/>
        </w:rPr>
        <w:footnoteRef/>
      </w:r>
      <w:r>
        <w:t xml:space="preserve"> </w:t>
      </w:r>
      <w:r>
        <w:tab/>
        <w:t>Ibid., p. 179. Dans un travail plus récent, The Conception of Ma</w:t>
      </w:r>
      <w:r>
        <w:t>na (in Transactions of the third International Congress for the History of Religions, 11, p. 54 et suiv.), MARRETT tend à subordonner davantage la conception animiste à la notion de mana. Cependant, sa pensée reste encore, sur ce point, hésitante et très r</w:t>
      </w:r>
      <w:r>
        <w:t>éservée.</w:t>
      </w:r>
    </w:p>
  </w:footnote>
  <w:footnote w:id="449">
    <w:p w:rsidR="009A6BD2" w:rsidRDefault="003E2D0F">
      <w:pPr>
        <w:pStyle w:val="Testonotaapidipagina"/>
      </w:pPr>
      <w:r>
        <w:rPr>
          <w:rStyle w:val="Rimandonotaapidipagina"/>
        </w:rPr>
        <w:footnoteRef/>
      </w:r>
      <w:r>
        <w:t xml:space="preserve"> </w:t>
      </w:r>
      <w:r>
        <w:tab/>
        <w:t>Ibid., p. 168.</w:t>
      </w:r>
    </w:p>
  </w:footnote>
  <w:footnote w:id="450">
    <w:p w:rsidR="009A6BD2" w:rsidRDefault="003E2D0F">
      <w:pPr>
        <w:pStyle w:val="Testonotaapidipagina"/>
      </w:pPr>
      <w:r>
        <w:rPr>
          <w:rStyle w:val="Rimandonotaapidipagina"/>
        </w:rPr>
        <w:footnoteRef/>
      </w:r>
      <w:r>
        <w:t xml:space="preserve"> </w:t>
      </w:r>
      <w:r>
        <w:tab/>
        <w:t xml:space="preserve">Ce retour du préanimisme au naturisme est encore plus accusé dans une communication de CLODD au Ille Congrès de l'Histoire des Religions (Preanimistic Stages in Religion, in Transactions of the third Internat. Congress, etc., </w:t>
      </w:r>
      <w:r>
        <w:t>I, p. 33).</w:t>
      </w:r>
    </w:p>
  </w:footnote>
  <w:footnote w:id="451">
    <w:p w:rsidR="009A6BD2" w:rsidRDefault="003E2D0F">
      <w:pPr>
        <w:pStyle w:val="Testonotaapidipagina"/>
      </w:pPr>
      <w:r>
        <w:rPr>
          <w:rStyle w:val="Rimandonotaapidipagina"/>
        </w:rPr>
        <w:footnoteRef/>
      </w:r>
      <w:r>
        <w:t xml:space="preserve"> </w:t>
      </w:r>
      <w:r>
        <w:tab/>
        <w:t>Année sociologique, tome VII, p. 108 et suiv.</w:t>
      </w:r>
    </w:p>
  </w:footnote>
  <w:footnote w:id="452">
    <w:p w:rsidR="009A6BD2" w:rsidRDefault="003E2D0F">
      <w:pPr>
        <w:pStyle w:val="Testonotaapidipagina"/>
      </w:pPr>
      <w:r>
        <w:rPr>
          <w:rStyle w:val="Rimandonotaapidipagina"/>
        </w:rPr>
        <w:footnoteRef/>
      </w:r>
      <w:r>
        <w:t xml:space="preserve"> </w:t>
      </w:r>
      <w:r>
        <w:tab/>
        <w:t>Der Ursprung der Religion und Kunst, in Globus, 1904, tome LXXXVI, pp. 321, 355, 376, 389 ; 1905; tome LXXXVII, pp. 333, 347, 380, 394, 413.</w:t>
      </w:r>
    </w:p>
  </w:footnote>
  <w:footnote w:id="453">
    <w:p w:rsidR="009A6BD2" w:rsidRDefault="003E2D0F">
      <w:pPr>
        <w:pStyle w:val="Testonotaapidipagina"/>
      </w:pPr>
      <w:r>
        <w:rPr>
          <w:rStyle w:val="Rimandonotaapidipagina"/>
        </w:rPr>
        <w:footnoteRef/>
      </w:r>
      <w:r>
        <w:t xml:space="preserve"> </w:t>
      </w:r>
      <w:r>
        <w:tab/>
        <w:t>Globus, LXXXVII, p. 381.</w:t>
      </w:r>
    </w:p>
  </w:footnote>
  <w:footnote w:id="454">
    <w:p w:rsidR="009A6BD2" w:rsidRDefault="003E2D0F">
      <w:pPr>
        <w:pStyle w:val="Testonotaapidipagina"/>
      </w:pPr>
      <w:r>
        <w:rPr>
          <w:rStyle w:val="Rimandonotaapidipagina"/>
        </w:rPr>
        <w:footnoteRef/>
      </w:r>
      <w:r>
        <w:t xml:space="preserve"> </w:t>
      </w:r>
      <w:r>
        <w:tab/>
        <w:t>Il les oppose netteme</w:t>
      </w:r>
      <w:r>
        <w:t>nt à toutes les influences de nature profane (Globus, LXXXVI, p. 379, a).</w:t>
      </w:r>
    </w:p>
  </w:footnote>
  <w:footnote w:id="455">
    <w:p w:rsidR="009A6BD2" w:rsidRDefault="003E2D0F">
      <w:pPr>
        <w:pStyle w:val="Testonotaapidipagina"/>
      </w:pPr>
      <w:r>
        <w:rPr>
          <w:rStyle w:val="Rimandonotaapidipagina"/>
        </w:rPr>
        <w:footnoteRef/>
      </w:r>
      <w:r>
        <w:t xml:space="preserve"> </w:t>
      </w:r>
      <w:r>
        <w:tab/>
        <w:t>On la retrouve même dans les récentes théories de Frazer. Car si ce savant refuse au totémisme tout caractère religieux pour en faire une sorte de magie, c'est justement parce que</w:t>
      </w:r>
      <w:r>
        <w:t xml:space="preserve"> les forces que le culte totémique met en oeuvre sont impersonnelles comme celles que manie le magicien. Frazer reconnaît donc le fait fondamental que tous venons d'établir. Seulement, il en tire une conclusion différente de la nôtre parce que, suivant lui</w:t>
      </w:r>
      <w:r>
        <w:t>, il n'y a religion que là où il y a personnalités mythiques.</w:t>
      </w:r>
    </w:p>
  </w:footnote>
  <w:footnote w:id="456">
    <w:p w:rsidR="009A6BD2" w:rsidRDefault="003E2D0F">
      <w:pPr>
        <w:pStyle w:val="Testonotaapidipagina"/>
      </w:pPr>
      <w:r>
        <w:rPr>
          <w:rStyle w:val="Rimandonotaapidipagina"/>
        </w:rPr>
        <w:footnoteRef/>
      </w:r>
      <w:r>
        <w:t xml:space="preserve"> </w:t>
      </w:r>
      <w:r>
        <w:tab/>
        <w:t>Toutefois, nous ne prenons pas ce mot dans le même sens que Preuss et Marrett. Suivant eux, il y aurait eu un moment déterminé de l'évolution religieuse où les hommes n'auraient connu ni âmes</w:t>
      </w:r>
      <w:r>
        <w:t xml:space="preserve"> ni esprits, une phase préanimiste. L'hypothèse est des plus contestables : nous nous expliquons plus loin sur ce point (liv. I, chap. VIII et IX).</w:t>
      </w:r>
    </w:p>
  </w:footnote>
  <w:footnote w:id="457">
    <w:p w:rsidR="009A6BD2" w:rsidRDefault="003E2D0F">
      <w:pPr>
        <w:pStyle w:val="Testonotaapidipagina"/>
      </w:pPr>
      <w:r>
        <w:rPr>
          <w:rStyle w:val="Rimandonotaapidipagina"/>
        </w:rPr>
        <w:footnoteRef/>
      </w:r>
      <w:r>
        <w:t xml:space="preserve"> </w:t>
      </w:r>
      <w:r>
        <w:tab/>
        <w:t>V. sur la même question un article d'Alessandro BRUNO, Sui fenomeni magico-religiosi delle communità prim</w:t>
      </w:r>
      <w:r>
        <w:t>itive, in Rivista italiana di Sociologia, XIIe année, fasc. IV-V, p. 568 et suiv., et une communication, non publiée, faite par W. Bogoras au XlVe Congrès des Américanistes, tenu à Stuttgart en 1904. Cette communication est analysée par Preuss dans le Glob</w:t>
      </w:r>
      <w:r>
        <w:t>us, LXXXVI, p. 201.</w:t>
      </w:r>
    </w:p>
  </w:footnote>
  <w:footnote w:id="458">
    <w:p w:rsidR="009A6BD2" w:rsidRDefault="003E2D0F">
      <w:pPr>
        <w:pStyle w:val="Testonotaapidipagina"/>
      </w:pPr>
      <w:r>
        <w:rPr>
          <w:rStyle w:val="Rimandonotaapidipagina"/>
        </w:rPr>
        <w:footnoteRef/>
      </w:r>
      <w:r>
        <w:t xml:space="preserve"> </w:t>
      </w:r>
      <w:r>
        <w:tab/>
        <w:t>« Toutes choses, dit Miss Fletcher, sont traversées par un principe commun de vie » (Smiths</w:t>
      </w:r>
      <w:r>
        <w:rPr>
          <w:i/>
          <w:iCs/>
        </w:rPr>
        <w:t xml:space="preserve">. Rep. </w:t>
      </w:r>
      <w:r>
        <w:t>f. 1897, p. 579).</w:t>
      </w:r>
    </w:p>
  </w:footnote>
  <w:footnote w:id="459">
    <w:p w:rsidR="009A6BD2" w:rsidRDefault="003E2D0F">
      <w:pPr>
        <w:pStyle w:val="Testonotaapidipagina"/>
      </w:pPr>
      <w:r>
        <w:rPr>
          <w:rStyle w:val="Rimandonotaapidipagina"/>
        </w:rPr>
        <w:footnoteRef/>
      </w:r>
      <w:r>
        <w:t xml:space="preserve"> </w:t>
      </w:r>
      <w:r>
        <w:tab/>
        <w:t>HEWITT, in American Anthropologist, 1902, p. 36.</w:t>
      </w:r>
    </w:p>
  </w:footnote>
  <w:footnote w:id="460">
    <w:p w:rsidR="009A6BD2" w:rsidRDefault="003E2D0F">
      <w:pPr>
        <w:pStyle w:val="Testonotaapidipagina"/>
      </w:pPr>
      <w:r>
        <w:rPr>
          <w:rStyle w:val="Rimandonotaapidipagina"/>
        </w:rPr>
        <w:footnoteRef/>
      </w:r>
      <w:r>
        <w:t xml:space="preserve"> </w:t>
      </w:r>
      <w:r>
        <w:tab/>
        <w:t>The Melanesians, pp. 118-120.</w:t>
      </w:r>
    </w:p>
  </w:footnote>
  <w:footnote w:id="461">
    <w:p w:rsidR="009A6BD2" w:rsidRDefault="003E2D0F">
      <w:pPr>
        <w:pStyle w:val="Testonotaapidipagina"/>
      </w:pPr>
      <w:r>
        <w:rPr>
          <w:rStyle w:val="Rimandonotaapidipagina"/>
        </w:rPr>
        <w:footnoteRef/>
      </w:r>
      <w:r>
        <w:t xml:space="preserve"> </w:t>
      </w:r>
      <w:r>
        <w:tab/>
        <w:t>Ibid., p. 119.</w:t>
      </w:r>
    </w:p>
  </w:footnote>
  <w:footnote w:id="462">
    <w:p w:rsidR="009A6BD2" w:rsidRDefault="003E2D0F">
      <w:pPr>
        <w:pStyle w:val="Testonotaapidipagina"/>
      </w:pPr>
      <w:r>
        <w:rPr>
          <w:rStyle w:val="Rimandonotaapidipagina"/>
        </w:rPr>
        <w:footnoteRef/>
      </w:r>
      <w:r>
        <w:t xml:space="preserve"> </w:t>
      </w:r>
      <w:r>
        <w:tab/>
        <w:t>Voir plus h</w:t>
      </w:r>
      <w:r>
        <w:t>aut, p. 145.</w:t>
      </w:r>
    </w:p>
  </w:footnote>
  <w:footnote w:id="463">
    <w:p w:rsidR="009A6BD2" w:rsidRDefault="003E2D0F">
      <w:pPr>
        <w:pStyle w:val="Testonotaapidipagina"/>
      </w:pPr>
      <w:r>
        <w:rPr>
          <w:rStyle w:val="Rimandonotaapidipagina"/>
        </w:rPr>
        <w:footnoteRef/>
      </w:r>
      <w:r>
        <w:t xml:space="preserve"> </w:t>
      </w:r>
      <w:r>
        <w:tab/>
        <w:t>Pikler, dans l'opuscule cité plus haut, avait déjà exprimé, d'une manière un peu dialectique, le sentiment que c'est là ce qui constitue essentiellement le totem.</w:t>
      </w:r>
    </w:p>
  </w:footnote>
  <w:footnote w:id="464">
    <w:p w:rsidR="009A6BD2" w:rsidRDefault="003E2D0F">
      <w:pPr>
        <w:pStyle w:val="Testonotaapidipagina"/>
      </w:pPr>
      <w:r>
        <w:rPr>
          <w:rStyle w:val="Rimandonotaapidipagina"/>
        </w:rPr>
        <w:footnoteRef/>
      </w:r>
      <w:r>
        <w:t xml:space="preserve"> </w:t>
      </w:r>
      <w:r>
        <w:tab/>
        <w:t>V. notre Division du travail social, p. 64 et suiv,</w:t>
      </w:r>
    </w:p>
  </w:footnote>
  <w:footnote w:id="465">
    <w:p w:rsidR="009A6BD2" w:rsidRDefault="003E2D0F">
      <w:pPr>
        <w:pStyle w:val="Testonotaapidipagina"/>
      </w:pPr>
      <w:r>
        <w:rPr>
          <w:rStyle w:val="Rimandonotaapidipagina"/>
        </w:rPr>
        <w:footnoteRef/>
      </w:r>
      <w:r>
        <w:t xml:space="preserve"> </w:t>
      </w:r>
      <w:r>
        <w:tab/>
        <w:t>Ibid., p. 76.</w:t>
      </w:r>
    </w:p>
  </w:footnote>
  <w:footnote w:id="466">
    <w:p w:rsidR="009A6BD2" w:rsidRDefault="003E2D0F">
      <w:pPr>
        <w:pStyle w:val="Testonotaapidipagina"/>
      </w:pPr>
      <w:r>
        <w:rPr>
          <w:rStyle w:val="Rimandonotaapidipagina"/>
        </w:rPr>
        <w:footnoteRef/>
      </w:r>
      <w:r>
        <w:t xml:space="preserve"> </w:t>
      </w:r>
      <w:r>
        <w:tab/>
        <w:t>C'</w:t>
      </w:r>
      <w:r>
        <w:t>est du moins le cas de toute autorité morale reconnue comme telle par une collectivité.</w:t>
      </w:r>
    </w:p>
  </w:footnote>
  <w:footnote w:id="467">
    <w:p w:rsidR="009A6BD2" w:rsidRDefault="003E2D0F">
      <w:pPr>
        <w:pStyle w:val="Testonotaapidipagina"/>
      </w:pPr>
      <w:r>
        <w:rPr>
          <w:rStyle w:val="Rimandonotaapidipagina"/>
        </w:rPr>
        <w:footnoteRef/>
      </w:r>
      <w:r>
        <w:t xml:space="preserve"> </w:t>
      </w:r>
      <w:r>
        <w:tab/>
        <w:t>Nous espérons que cette analyse et celles qui suivront mettront un terme à une interprétation inexacte de notre pensée d'où il est résulté plus d'un malentendu. Parc</w:t>
      </w:r>
      <w:r>
        <w:t xml:space="preserve">e que nous avons fait de la contrainte le </w:t>
      </w:r>
      <w:r>
        <w:rPr>
          <w:i/>
          <w:iCs/>
        </w:rPr>
        <w:t xml:space="preserve">signe extérieur </w:t>
      </w:r>
      <w:r>
        <w:t xml:space="preserve">auquel les faits sociaux peuvent le plus aisément se reconnaître et se distinguer des faits de psychologie individuelle, on a cru que, pour nous, la contrainte physique était tout l'essentiel de la </w:t>
      </w:r>
      <w:r>
        <w:t xml:space="preserve">vie sociale. En réalité, nous n'y avons jamais vu que l'expression matérielle et apparente d'un fait intérieur et profond qui, lui, est tout idéal; c'est </w:t>
      </w:r>
      <w:r>
        <w:rPr>
          <w:i/>
          <w:iCs/>
        </w:rPr>
        <w:t xml:space="preserve">l'autorité morale. </w:t>
      </w:r>
      <w:r>
        <w:t xml:space="preserve">Le problème sociologique - si l'on peut dire qu'il y a </w:t>
      </w:r>
      <w:r>
        <w:rPr>
          <w:i/>
          <w:iCs/>
        </w:rPr>
        <w:t xml:space="preserve">un </w:t>
      </w:r>
      <w:r>
        <w:t>problème sociologique - c</w:t>
      </w:r>
      <w:r>
        <w:t>onsiste à chercher, à travers les différentes formes de contrainte extérieure, les différentes sortes d'autorité morale qui y correspondent, et à découvrir les causes qui ont déterminé ces dernières. En particulier, la question que nous traitons dans le pr</w:t>
      </w:r>
      <w:r>
        <w:t>ésent ouvrage a pour principal objet de trouver sous quelle forme cette espèce particulière d'autorité morale qui est inhérente à tout ce qui est religieux a pris naissance et se quoi elle est formée. On verra d'ailleurs plus loin que, si nous faisons de l</w:t>
      </w:r>
      <w:r>
        <w:t>a pression sociale un des caractères distinctifs des phénomènes sociologiques, nous n'entendons pas dire que ce soit le seul. Nous montrerons un autre aspect de la vie collective, presque opposé au précédent, mais non moins réel (v. p. 303).</w:t>
      </w:r>
    </w:p>
  </w:footnote>
  <w:footnote w:id="468">
    <w:p w:rsidR="009A6BD2" w:rsidRDefault="003E2D0F">
      <w:pPr>
        <w:pStyle w:val="Testonotaapidipagina"/>
      </w:pPr>
      <w:r>
        <w:rPr>
          <w:rStyle w:val="Rimandonotaapidipagina"/>
        </w:rPr>
        <w:footnoteRef/>
      </w:r>
      <w:r>
        <w:t xml:space="preserve"> </w:t>
      </w:r>
      <w:r>
        <w:tab/>
        <w:t>Ce qui ne v</w:t>
      </w:r>
      <w:r>
        <w:t>eut pas dire, bien entendu, que la conscience collective n'ait pas de caractères spécifiques (v. sur ce point Représentations individuelles et représentations collectives, in Revue de Métaphysique et de Morale, 1898, p. 273 et suiv.).</w:t>
      </w:r>
    </w:p>
  </w:footnote>
  <w:footnote w:id="469">
    <w:p w:rsidR="009A6BD2" w:rsidRDefault="003E2D0F">
      <w:pPr>
        <w:pStyle w:val="Testonotaapidipagina"/>
      </w:pPr>
      <w:r>
        <w:rPr>
          <w:rStyle w:val="Rimandonotaapidipagina"/>
        </w:rPr>
        <w:footnoteRef/>
      </w:r>
      <w:r>
        <w:t xml:space="preserve"> </w:t>
      </w:r>
      <w:r>
        <w:tab/>
        <w:t>C'est ce que prouv</w:t>
      </w:r>
      <w:r>
        <w:t>ent la longueur et le caractère passionné des débats où l'on donna une forme juridique aux résolutions de principe prises dans un moment d'enthousiasme collectif. Dans le clergé comme dans la noblesse, plus d'un appelait cette nuit célèbre la nuit des dupe</w:t>
      </w:r>
      <w:r>
        <w:t>s, ou, avec Rivarol, la Saint-Barthélemy des propriétés (V. STOLL, Suggestion und Hypnotismus in der Voelkerpsychologie, 2e Aufl., p. 618).</w:t>
      </w:r>
    </w:p>
  </w:footnote>
  <w:footnote w:id="470">
    <w:p w:rsidR="009A6BD2" w:rsidRDefault="003E2D0F">
      <w:pPr>
        <w:pStyle w:val="Testonotaapidipagina"/>
      </w:pPr>
      <w:r>
        <w:rPr>
          <w:rStyle w:val="Rimandonotaapidipagina"/>
        </w:rPr>
        <w:footnoteRef/>
      </w:r>
      <w:r>
        <w:t xml:space="preserve"> </w:t>
      </w:r>
      <w:r>
        <w:tab/>
        <w:t>V. STOLL, op. cit., p. 353 et suiv.</w:t>
      </w:r>
    </w:p>
  </w:footnote>
  <w:footnote w:id="471">
    <w:p w:rsidR="009A6BD2" w:rsidRDefault="003E2D0F">
      <w:pPr>
        <w:pStyle w:val="Testonotaapidipagina"/>
      </w:pPr>
      <w:r>
        <w:rPr>
          <w:rStyle w:val="Rimandonotaapidipagina"/>
        </w:rPr>
        <w:footnoteRef/>
      </w:r>
      <w:r>
        <w:t xml:space="preserve"> </w:t>
      </w:r>
      <w:r>
        <w:tab/>
        <w:t>Ibid., pp. 619, 635.</w:t>
      </w:r>
    </w:p>
  </w:footnote>
  <w:footnote w:id="472">
    <w:p w:rsidR="009A6BD2" w:rsidRDefault="003E2D0F">
      <w:pPr>
        <w:pStyle w:val="Testonotaapidipagina"/>
      </w:pPr>
      <w:r>
        <w:rPr>
          <w:rStyle w:val="Rimandonotaapidipagina"/>
        </w:rPr>
        <w:footnoteRef/>
      </w:r>
      <w:r>
        <w:t xml:space="preserve"> </w:t>
      </w:r>
      <w:r>
        <w:tab/>
        <w:t>Ibid., p. 622 et suiv.</w:t>
      </w:r>
    </w:p>
  </w:footnote>
  <w:footnote w:id="473">
    <w:p w:rsidR="009A6BD2" w:rsidRDefault="003E2D0F">
      <w:pPr>
        <w:pStyle w:val="Testonotaapidipagina"/>
      </w:pPr>
      <w:r>
        <w:rPr>
          <w:rStyle w:val="Rimandonotaapidipagina"/>
        </w:rPr>
        <w:footnoteRef/>
      </w:r>
      <w:r>
        <w:t xml:space="preserve"> </w:t>
      </w:r>
      <w:r>
        <w:tab/>
        <w:t xml:space="preserve">Les sentiments de peur, </w:t>
      </w:r>
      <w:r>
        <w:t>de tristesse peuvent se développer également et s'intensifier sous les mêmes influences. lis correspondent, comme nous le verrons, à tout un aspect de la vie religieuse (v. liv. II, chap. V).</w:t>
      </w:r>
    </w:p>
  </w:footnote>
  <w:footnote w:id="474">
    <w:p w:rsidR="009A6BD2" w:rsidRDefault="003E2D0F">
      <w:pPr>
        <w:pStyle w:val="Testonotaapidipagina"/>
      </w:pPr>
      <w:r>
        <w:rPr>
          <w:rStyle w:val="Rimandonotaapidipagina"/>
        </w:rPr>
        <w:footnoteRef/>
      </w:r>
      <w:r>
        <w:t xml:space="preserve"> </w:t>
      </w:r>
      <w:r>
        <w:tab/>
        <w:t>Tel est l'autre aspect de la société qui, en même temps qu'im</w:t>
      </w:r>
      <w:r>
        <w:t>pérative, nous apparaît, comme bonne et bienveillante. Elle nous domine et elle nous assiste. Si nous avons défini le fait social par le premier de ces caractères plutôt que par le second, c'est qu'il est plus facilement observable parce qu'il se traduit p</w:t>
      </w:r>
      <w:r>
        <w:t xml:space="preserve">ar des signes extérieurs et visibles; mais il s'en faut que nous ayons jamais songé à nier la réalité du second (v. </w:t>
      </w:r>
      <w:r>
        <w:rPr>
          <w:i/>
          <w:iCs/>
        </w:rPr>
        <w:t xml:space="preserve">Règles de la méthode sociologique, </w:t>
      </w:r>
      <w:r>
        <w:t>préface de la seconde édition, p. xx, no 1).</w:t>
      </w:r>
    </w:p>
  </w:footnote>
  <w:footnote w:id="475">
    <w:p w:rsidR="009A6BD2" w:rsidRDefault="003E2D0F">
      <w:pPr>
        <w:pStyle w:val="Testonotaapidipagina"/>
      </w:pPr>
      <w:r>
        <w:rPr>
          <w:rStyle w:val="Rimandonotaapidipagina"/>
        </w:rPr>
        <w:footnoteRef/>
      </w:r>
      <w:r>
        <w:t xml:space="preserve"> </w:t>
      </w:r>
      <w:r>
        <w:tab/>
        <w:t>CODRINGTON, The Melanesians, pp. 50, 103, 120. D'ailleurs</w:t>
      </w:r>
      <w:r>
        <w:t>, on considère généralement que, dans les langues polynésiennes, le mot mana a primitivement le sens d'autorité (v. TREGEAR, Maori Comparative Dictionary, s. v.).</w:t>
      </w:r>
    </w:p>
  </w:footnote>
  <w:footnote w:id="476">
    <w:p w:rsidR="009A6BD2" w:rsidRDefault="003E2D0F">
      <w:pPr>
        <w:pStyle w:val="Testonotaapidipagina"/>
      </w:pPr>
      <w:r>
        <w:rPr>
          <w:rStyle w:val="Rimandonotaapidipagina"/>
        </w:rPr>
        <w:footnoteRef/>
      </w:r>
      <w:r>
        <w:t xml:space="preserve"> </w:t>
      </w:r>
      <w:r>
        <w:tab/>
        <w:t>V. Albert Mathiez, Les origines des cultes révolutionnaires (1789-1792).</w:t>
      </w:r>
    </w:p>
  </w:footnote>
  <w:footnote w:id="477">
    <w:p w:rsidR="009A6BD2" w:rsidRDefault="003E2D0F">
      <w:pPr>
        <w:pStyle w:val="Testonotaapidipagina"/>
      </w:pPr>
      <w:r>
        <w:rPr>
          <w:rStyle w:val="Rimandonotaapidipagina"/>
        </w:rPr>
        <w:footnoteRef/>
      </w:r>
      <w:r>
        <w:t xml:space="preserve"> </w:t>
      </w:r>
      <w:r>
        <w:tab/>
        <w:t>Ibid., p. 124.</w:t>
      </w:r>
    </w:p>
  </w:footnote>
  <w:footnote w:id="478">
    <w:p w:rsidR="009A6BD2" w:rsidRDefault="003E2D0F">
      <w:pPr>
        <w:pStyle w:val="Testonotaapidipagina"/>
      </w:pPr>
      <w:r>
        <w:rPr>
          <w:rStyle w:val="Rimandonotaapidipagina"/>
        </w:rPr>
        <w:footnoteRef/>
      </w:r>
      <w:r>
        <w:t xml:space="preserve"> </w:t>
      </w:r>
      <w:r>
        <w:tab/>
        <w:t>Ibid., pp. 29, 32.</w:t>
      </w:r>
    </w:p>
  </w:footnote>
  <w:footnote w:id="479">
    <w:p w:rsidR="009A6BD2" w:rsidRDefault="003E2D0F">
      <w:pPr>
        <w:pStyle w:val="Testonotaapidipagina"/>
      </w:pPr>
      <w:r>
        <w:rPr>
          <w:rStyle w:val="Rimandonotaapidipagina"/>
        </w:rPr>
        <w:footnoteRef/>
      </w:r>
      <w:r>
        <w:t xml:space="preserve"> </w:t>
      </w:r>
      <w:r>
        <w:tab/>
        <w:t>Ibid., p. 30.</w:t>
      </w:r>
    </w:p>
  </w:footnote>
  <w:footnote w:id="480">
    <w:p w:rsidR="009A6BD2" w:rsidRDefault="003E2D0F">
      <w:pPr>
        <w:pStyle w:val="Testonotaapidipagina"/>
      </w:pPr>
      <w:r>
        <w:rPr>
          <w:rStyle w:val="Rimandonotaapidipagina"/>
        </w:rPr>
        <w:footnoteRef/>
      </w:r>
      <w:r>
        <w:t xml:space="preserve"> </w:t>
      </w:r>
      <w:r>
        <w:tab/>
        <w:t>Ibid., p. 46.</w:t>
      </w:r>
    </w:p>
  </w:footnote>
  <w:footnote w:id="481">
    <w:p w:rsidR="009A6BD2" w:rsidRDefault="003E2D0F">
      <w:pPr>
        <w:pStyle w:val="Testonotaapidipagina"/>
      </w:pPr>
      <w:r>
        <w:rPr>
          <w:rStyle w:val="Rimandonotaapidipagina"/>
        </w:rPr>
        <w:footnoteRef/>
      </w:r>
      <w:r>
        <w:t xml:space="preserve"> </w:t>
      </w:r>
      <w:r>
        <w:tab/>
        <w:t>V. Mathiez, La Théophilanthrophie et le culte décadaire, p. 36.</w:t>
      </w:r>
    </w:p>
  </w:footnote>
  <w:footnote w:id="482">
    <w:p w:rsidR="009A6BD2" w:rsidRDefault="003E2D0F">
      <w:pPr>
        <w:pStyle w:val="Testonotaapidipagina"/>
      </w:pPr>
      <w:r>
        <w:rPr>
          <w:rStyle w:val="Rimandonotaapidipagina"/>
        </w:rPr>
        <w:footnoteRef/>
      </w:r>
      <w:r>
        <w:t xml:space="preserve"> </w:t>
      </w:r>
      <w:r>
        <w:tab/>
        <w:t>V. SPENCER et GILLEN, North. Tr., p. 33.</w:t>
      </w:r>
    </w:p>
  </w:footnote>
  <w:footnote w:id="483">
    <w:p w:rsidR="009A6BD2" w:rsidRDefault="003E2D0F">
      <w:pPr>
        <w:pStyle w:val="Testonotaapidipagina"/>
      </w:pPr>
      <w:r>
        <w:rPr>
          <w:rStyle w:val="Rimandonotaapidipagina"/>
        </w:rPr>
        <w:footnoteRef/>
      </w:r>
      <w:r>
        <w:t xml:space="preserve"> </w:t>
      </w:r>
      <w:r>
        <w:tab/>
        <w:t>Il est même des cérémonies, notamment celles qui ont lieu à propos de l'initiation, o</w:t>
      </w:r>
      <w:r>
        <w:t>ù des membres de tribus étrangères sont convoqués. Tout un système de messages et de messagers est organisé en vue de ces convocations sans lesquelles il n'y a pas de grandes solennités (v. HOWITT, Notes on Australian Message-Sticks and Messengers, in J.A.</w:t>
      </w:r>
      <w:r>
        <w:t>I., 1889 ; Nat. Tr., p. 83, 678-691 ; SPENCER et GILLEN, Nat. Tr.</w:t>
      </w:r>
    </w:p>
  </w:footnote>
  <w:footnote w:id="484">
    <w:p w:rsidR="009A6BD2" w:rsidRDefault="003E2D0F">
      <w:pPr>
        <w:pStyle w:val="Testonotaapidipagina"/>
      </w:pPr>
      <w:r>
        <w:rPr>
          <w:rStyle w:val="Rimandonotaapidipagina"/>
        </w:rPr>
        <w:footnoteRef/>
      </w:r>
      <w:r>
        <w:t xml:space="preserve"> </w:t>
      </w:r>
      <w:r>
        <w:tab/>
        <w:t>Le corrobbori se distingue de la cérémonie proprement religieuse en ce qu'il est accessible aux femmes et aux non-initiés. Mais, si ces deux sortes de manifestations collectives doivent ê</w:t>
      </w:r>
      <w:r>
        <w:t>tre distinguées, elles ne laissent pas d'être étroitement parentes. Nous aurons d'ailleurs l'occasion de revenir plus loin sur cette parenté et de l'expliquer.</w:t>
      </w:r>
    </w:p>
  </w:footnote>
  <w:footnote w:id="485">
    <w:p w:rsidR="009A6BD2" w:rsidRDefault="003E2D0F">
      <w:pPr>
        <w:pStyle w:val="Testonotaapidipagina"/>
      </w:pPr>
      <w:r>
        <w:rPr>
          <w:rStyle w:val="Rimandonotaapidipagina"/>
        </w:rPr>
        <w:footnoteRef/>
      </w:r>
      <w:r>
        <w:t xml:space="preserve"> </w:t>
      </w:r>
      <w:r>
        <w:tab/>
        <w:t>Sauf dans le cas de grandes chasses à battue.</w:t>
      </w:r>
    </w:p>
  </w:footnote>
  <w:footnote w:id="486">
    <w:p w:rsidR="009A6BD2" w:rsidRDefault="003E2D0F">
      <w:pPr>
        <w:pStyle w:val="Testonotaapidipagina"/>
      </w:pPr>
      <w:r>
        <w:rPr>
          <w:rStyle w:val="Rimandonotaapidipagina"/>
        </w:rPr>
        <w:footnoteRef/>
      </w:r>
      <w:r>
        <w:t xml:space="preserve"> </w:t>
      </w:r>
      <w:r>
        <w:tab/>
        <w:t xml:space="preserve">« The peaceful monotony of this part of his </w:t>
      </w:r>
      <w:r>
        <w:t>life », disent SPENCER et GILLEN (North. Tr., p. 33).</w:t>
      </w:r>
    </w:p>
  </w:footnote>
  <w:footnote w:id="487">
    <w:p w:rsidR="009A6BD2" w:rsidRDefault="003E2D0F">
      <w:pPr>
        <w:pStyle w:val="Testonotaapidipagina"/>
      </w:pPr>
      <w:r>
        <w:rPr>
          <w:rStyle w:val="Rimandonotaapidipagina"/>
        </w:rPr>
        <w:footnoteRef/>
      </w:r>
      <w:r>
        <w:t xml:space="preserve"> </w:t>
      </w:r>
      <w:r>
        <w:tab/>
        <w:t>HOWITT, Nat. Tr., p. 683. Il s'agit, en l'espèce, des démonstrations qui ont lieu quand une ambassade, dépêchée vers un groupe d'étrangers, rentre au camp avec la nouvelle d'un résultat favorable. Cf</w:t>
      </w:r>
      <w:r>
        <w:t>. Brough SMYTH, I, p. 138; SCHULZE, loc. cit., p. 222.</w:t>
      </w:r>
    </w:p>
  </w:footnote>
  <w:footnote w:id="488">
    <w:p w:rsidR="009A6BD2" w:rsidRDefault="003E2D0F">
      <w:pPr>
        <w:pStyle w:val="Testonotaapidipagina"/>
      </w:pPr>
      <w:r>
        <w:rPr>
          <w:rStyle w:val="Rimandonotaapidipagina"/>
        </w:rPr>
        <w:footnoteRef/>
      </w:r>
      <w:r>
        <w:t xml:space="preserve"> </w:t>
      </w:r>
      <w:r>
        <w:tab/>
        <w:t>V. SPENCER et GILLEN, Nat. Tr., pp. 96-97, North. Tr., p. 137; BROUGH SMYTH, II, p. 319. - Cette promiscuité rituelle s'observe notamment dans les cérémonies d'initiation (SPENCER et GILLEN, Nat. Tr</w:t>
      </w:r>
      <w:r>
        <w:t>., pp. 267, 381 ; HOWITT, Nat. Tr., p. 657), dans les cérémonies totémiques (SPENCER et GILLEN, North. Tr., pp. 214, 298 et 237). Dans ces dernières, les règles exogamiques ordinaires sont violées. Toutefois, chez les Arunta, les unions entre père et fille</w:t>
      </w:r>
      <w:r>
        <w:t>, fils et mère, frères et sœurs (il s'agit dans tous ces cas de parenté par le sang) restent interdites (Nat. Tr., pp. 96-97).</w:t>
      </w:r>
    </w:p>
  </w:footnote>
  <w:footnote w:id="489">
    <w:p w:rsidR="009A6BD2" w:rsidRDefault="003E2D0F">
      <w:pPr>
        <w:pStyle w:val="Testonotaapidipagina"/>
      </w:pPr>
      <w:r>
        <w:rPr>
          <w:rStyle w:val="Rimandonotaapidipagina"/>
        </w:rPr>
        <w:footnoteRef/>
      </w:r>
      <w:r>
        <w:t xml:space="preserve"> </w:t>
      </w:r>
      <w:r>
        <w:tab/>
        <w:t>HOWITT, Nat. Tr., pp. 535, 545. Le fait est d'une extrême généralité.</w:t>
      </w:r>
    </w:p>
  </w:footnote>
  <w:footnote w:id="490">
    <w:p w:rsidR="009A6BD2" w:rsidRDefault="003E2D0F">
      <w:pPr>
        <w:pStyle w:val="Testonotaapidipagina"/>
      </w:pPr>
      <w:r>
        <w:rPr>
          <w:rStyle w:val="Rimandonotaapidipagina"/>
        </w:rPr>
        <w:footnoteRef/>
      </w:r>
      <w:r>
        <w:t xml:space="preserve"> </w:t>
      </w:r>
      <w:r>
        <w:tab/>
        <w:t>Ces femmes étaient elles-mêmes des Kingilli et, par c</w:t>
      </w:r>
      <w:r>
        <w:t>onséquent, ces unions violaient la règle d'exogamie.</w:t>
      </w:r>
    </w:p>
  </w:footnote>
  <w:footnote w:id="491">
    <w:p w:rsidR="009A6BD2" w:rsidRDefault="003E2D0F">
      <w:pPr>
        <w:pStyle w:val="Testonotaapidipagina"/>
      </w:pPr>
      <w:r>
        <w:rPr>
          <w:rStyle w:val="Rimandonotaapidipagina"/>
        </w:rPr>
        <w:footnoteRef/>
      </w:r>
      <w:r>
        <w:t xml:space="preserve"> </w:t>
      </w:r>
      <w:r>
        <w:tab/>
        <w:t>North. Tr., p. 237.</w:t>
      </w:r>
    </w:p>
  </w:footnote>
  <w:footnote w:id="492">
    <w:p w:rsidR="009A6BD2" w:rsidRDefault="003E2D0F">
      <w:pPr>
        <w:pStyle w:val="Testonotaapidipagina"/>
      </w:pPr>
      <w:r>
        <w:rPr>
          <w:rStyle w:val="Rimandonotaapidipagina"/>
        </w:rPr>
        <w:footnoteRef/>
      </w:r>
      <w:r>
        <w:t xml:space="preserve"> </w:t>
      </w:r>
      <w:r>
        <w:tab/>
        <w:t>North. Tr., p. 391. On trouvera d'autres exemples d'effervescence collective au cours de cérémonies religieuses dans Nat. Tr., pp. 244-246, 365-366, 374, 509-510 (cette dernière</w:t>
      </w:r>
      <w:r>
        <w:t xml:space="preserve"> a lieu à propos d'un rite funéraire). Cf. North. Tr., pp. 213, 351.</w:t>
      </w:r>
    </w:p>
  </w:footnote>
  <w:footnote w:id="493">
    <w:p w:rsidR="009A6BD2" w:rsidRDefault="003E2D0F">
      <w:pPr>
        <w:pStyle w:val="Testonotaapidipagina"/>
      </w:pPr>
      <w:r>
        <w:rPr>
          <w:rStyle w:val="Rimandonotaapidipagina"/>
        </w:rPr>
        <w:footnoteRef/>
      </w:r>
      <w:r>
        <w:t xml:space="preserve"> </w:t>
      </w:r>
      <w:r>
        <w:tab/>
        <w:t>On voit que cette fraternité est une conséquence logique du totémisme, loin d'en être le principe. Les hommes ne se sont pas cru des devoirs envers les animaux de l'espèce totémique, p</w:t>
      </w:r>
      <w:r>
        <w:t>arce qu'ils s'en croyaient parents; mais ils imaginèrent cette parenté pour s'expliquer à eux-mêmes la nature des croyances et des rites dont ces animaux étaient l'objet. L'animal a été considéré comme un congénère de l'homme parce qu'il était un être sacr</w:t>
      </w:r>
      <w:r>
        <w:t>é comme l'homme; mais il n'a pas été traité comme un être sacré parce qu'on voyait en lui un congénère.</w:t>
      </w:r>
    </w:p>
  </w:footnote>
  <w:footnote w:id="494">
    <w:p w:rsidR="009A6BD2" w:rsidRDefault="003E2D0F">
      <w:pPr>
        <w:pStyle w:val="Testonotaapidipagina"/>
      </w:pPr>
      <w:r>
        <w:rPr>
          <w:rStyle w:val="Rimandonotaapidipagina"/>
        </w:rPr>
        <w:footnoteRef/>
      </w:r>
      <w:r>
        <w:t xml:space="preserve"> </w:t>
      </w:r>
      <w:r>
        <w:tab/>
        <w:t>V. plus bas, liv. III, chap. 1er, § III.</w:t>
      </w:r>
    </w:p>
  </w:footnote>
  <w:footnote w:id="495">
    <w:p w:rsidR="009A6BD2" w:rsidRDefault="003E2D0F">
      <w:pPr>
        <w:pStyle w:val="Testonotaapidipagina"/>
      </w:pPr>
      <w:r>
        <w:rPr>
          <w:rStyle w:val="Rimandonotaapidipagina"/>
        </w:rPr>
        <w:footnoteRef/>
      </w:r>
      <w:r>
        <w:t xml:space="preserve"> </w:t>
      </w:r>
      <w:r>
        <w:tab/>
        <w:t>A la base de cette conception, il y a, d'ailleurs, un sentiment bien fondé et qui persiste. La science mo</w:t>
      </w:r>
      <w:r>
        <w:t xml:space="preserve">derne, elle aussi, tend de plus en plus à admettre que la dualité de l'homme et de la nature n'exclut pas leur unité ; que les forces physiques et les forces morales, tout en étant distinctes, sont étroitement parentes. De cette unité et de cette parenté, </w:t>
      </w:r>
      <w:r>
        <w:t>nous nous faisons, sans doute, une autre idée que le primitif; mais, sous des symboles différents, le fait affirmé est le même de part et d'autre.</w:t>
      </w:r>
    </w:p>
  </w:footnote>
  <w:footnote w:id="496">
    <w:p w:rsidR="009A6BD2" w:rsidRDefault="003E2D0F">
      <w:pPr>
        <w:pStyle w:val="Testonotaapidipagina"/>
      </w:pPr>
      <w:r>
        <w:rPr>
          <w:rStyle w:val="Rimandonotaapidipagina"/>
        </w:rPr>
        <w:footnoteRef/>
      </w:r>
      <w:r>
        <w:t xml:space="preserve"> </w:t>
      </w:r>
      <w:r>
        <w:tab/>
        <w:t>Nous disons de cette dérivation qu'elle est parfois indirecte, à cause des techniques industrielles qui, d</w:t>
      </w:r>
      <w:r>
        <w:t xml:space="preserve">ans le plus grand nombre de cas, semblent bien n'être dérivées de la religion que par l'intermédiaire de la magie (voir </w:t>
      </w:r>
      <w:r>
        <w:rPr>
          <w:i/>
          <w:iCs/>
        </w:rPr>
        <w:t xml:space="preserve">HUBERT </w:t>
      </w:r>
      <w:r>
        <w:t>et Mauss, Théorie générale de la magie, Année sociol., VII, p. 144 et suiv.) ; car les forces magiques ne sont, croyons-nous, qu'</w:t>
      </w:r>
      <w:r>
        <w:t>une forme particulière des forces religieuses. Nous aurons plusieurs fois à revenir sur ce point.</w:t>
      </w:r>
    </w:p>
  </w:footnote>
  <w:footnote w:id="497">
    <w:p w:rsidR="009A6BD2" w:rsidRDefault="003E2D0F">
      <w:pPr>
        <w:pStyle w:val="Testonotaapidipagina"/>
      </w:pPr>
      <w:r>
        <w:rPr>
          <w:rStyle w:val="Rimandonotaapidipagina"/>
        </w:rPr>
        <w:footnoteRef/>
      </w:r>
      <w:r>
        <w:t xml:space="preserve"> </w:t>
      </w:r>
      <w:r>
        <w:tab/>
        <w:t>Une fois, du moins, qu'il est adulte et pleinement initié; car les rites de l'initiation, qui introduisent le jeune homme à la vie sociale, constituent, pa</w:t>
      </w:r>
      <w:r>
        <w:t>r eux-mêmes, une sévère discipline.</w:t>
      </w:r>
    </w:p>
  </w:footnote>
  <w:footnote w:id="498">
    <w:p w:rsidR="009A6BD2" w:rsidRDefault="003E2D0F">
      <w:pPr>
        <w:pStyle w:val="Testonotaapidipagina"/>
      </w:pPr>
      <w:r>
        <w:rPr>
          <w:rStyle w:val="Rimandonotaapidipagina"/>
        </w:rPr>
        <w:footnoteRef/>
      </w:r>
      <w:r>
        <w:t xml:space="preserve"> </w:t>
      </w:r>
      <w:r>
        <w:tab/>
        <w:t>V. sur cette nature particulière des sociétés primitives, notre Division du travail social, 3e éd., pp. 123, 149, 173 et suiv.</w:t>
      </w:r>
    </w:p>
  </w:footnote>
  <w:footnote w:id="499">
    <w:p w:rsidR="009A6BD2" w:rsidRDefault="003E2D0F">
      <w:pPr>
        <w:pStyle w:val="Testonotaapidipagina"/>
      </w:pPr>
      <w:r>
        <w:rPr>
          <w:rStyle w:val="Rimandonotaapidipagina"/>
        </w:rPr>
        <w:footnoteRef/>
      </w:r>
      <w:r>
        <w:t xml:space="preserve"> </w:t>
      </w:r>
      <w:r>
        <w:tab/>
        <w:t>Nous nous bornons provisoirement à cette indication générale; nous reviendrons sur l'id</w:t>
      </w:r>
      <w:r>
        <w:t>ée et nous en ferons plus explicitement la preuve quand nous traiterons des rites (liv. III).</w:t>
      </w:r>
    </w:p>
  </w:footnote>
  <w:footnote w:id="500">
    <w:p w:rsidR="009A6BD2" w:rsidRDefault="003E2D0F">
      <w:pPr>
        <w:pStyle w:val="Testonotaapidipagina"/>
      </w:pPr>
      <w:r>
        <w:rPr>
          <w:rStyle w:val="Rimandonotaapidipagina"/>
        </w:rPr>
        <w:footnoteRef/>
      </w:r>
      <w:r>
        <w:t xml:space="preserve"> </w:t>
      </w:r>
      <w:r>
        <w:tab/>
        <w:t xml:space="preserve">V. sur ce point Achelis, </w:t>
      </w:r>
      <w:r>
        <w:rPr>
          <w:i/>
          <w:iCs/>
        </w:rPr>
        <w:t xml:space="preserve">Die Ekstase </w:t>
      </w:r>
      <w:r>
        <w:t>(Berlin), 1902, notamment le chap. 1er.</w:t>
      </w:r>
    </w:p>
  </w:footnote>
  <w:footnote w:id="501">
    <w:p w:rsidR="009A6BD2" w:rsidRDefault="003E2D0F">
      <w:pPr>
        <w:pStyle w:val="Testonotaapidipagina"/>
      </w:pPr>
      <w:r>
        <w:rPr>
          <w:rStyle w:val="Rimandonotaapidipagina"/>
        </w:rPr>
        <w:footnoteRef/>
      </w:r>
      <w:r>
        <w:t xml:space="preserve"> </w:t>
      </w:r>
      <w:r>
        <w:tab/>
        <w:t>Cf. Mauss, Essai sur les variations saisonnières des sociétés eskimos, in Année</w:t>
      </w:r>
      <w:r>
        <w:t xml:space="preserve"> sociol., IX, p. 127.</w:t>
      </w:r>
    </w:p>
  </w:footnote>
  <w:footnote w:id="502">
    <w:p w:rsidR="009A6BD2" w:rsidRDefault="003E2D0F">
      <w:pPr>
        <w:pStyle w:val="Testonotaapidipagina"/>
      </w:pPr>
      <w:r>
        <w:rPr>
          <w:rStyle w:val="Rimandonotaapidipagina"/>
        </w:rPr>
        <w:footnoteRef/>
      </w:r>
      <w:r>
        <w:t xml:space="preserve"> </w:t>
      </w:r>
      <w:r>
        <w:tab/>
        <w:t>On voit tout ce qu'il y a d'erroné dans les théories qui, comme le matérialisme géographique de RATZEL (v. notamment sa Politische Geographie) entendent dériver toute la vie sociale de son substrat matériel (soit économique, soit t</w:t>
      </w:r>
      <w:r>
        <w:t>erritorial). Elles commettent une erreur tout à fait comparable à celle qu'a commise Maudsley en psychologie individuelle. Comme ce dernier réduisait la vie psychique de l'individu à n'être qu'un épiphénomène de sa base physiologique, elles veulent réduire</w:t>
      </w:r>
      <w:r>
        <w:t xml:space="preserve"> toute la vie psychique de la collectivité à sa base physique. C'est oublier que les idées sont des réalités, des forces, et que les représentations collectives sont des forces plus agissantes encore et plus efficaces que les représentations individuelles.</w:t>
      </w:r>
      <w:r>
        <w:t xml:space="preserve"> V. sur ce point notre article Représentations individuelles et représentations collectives, in Revue de Métaphysique el de Morale, mai 1898.</w:t>
      </w:r>
    </w:p>
  </w:footnote>
  <w:footnote w:id="503">
    <w:p w:rsidR="009A6BD2" w:rsidRDefault="003E2D0F">
      <w:pPr>
        <w:pStyle w:val="Testonotaapidipagina"/>
      </w:pPr>
      <w:r>
        <w:rPr>
          <w:rStyle w:val="Rimandonotaapidipagina"/>
        </w:rPr>
        <w:footnoteRef/>
      </w:r>
      <w:r>
        <w:t xml:space="preserve"> </w:t>
      </w:r>
      <w:r>
        <w:tab/>
        <w:t>V. plus haut, pp. 269, 277.</w:t>
      </w:r>
    </w:p>
  </w:footnote>
  <w:footnote w:id="504">
    <w:p w:rsidR="009A6BD2" w:rsidRDefault="003E2D0F">
      <w:pPr>
        <w:pStyle w:val="Testonotaapidipagina"/>
      </w:pPr>
      <w:r>
        <w:rPr>
          <w:rStyle w:val="Rimandonotaapidipagina"/>
        </w:rPr>
        <w:footnoteRef/>
      </w:r>
      <w:r>
        <w:t xml:space="preserve"> </w:t>
      </w:r>
      <w:r>
        <w:tab/>
        <w:t>Même les excréta ont un caractère religieux. V. Preuss, Der Ursprung der Religio</w:t>
      </w:r>
      <w:r>
        <w:t>n und Kunst, en particulier le chapitre Il intitulé « Der Zauber der Defäkation » (Globus, LXXXVI, p. 325 et suiv.).</w:t>
      </w:r>
    </w:p>
  </w:footnote>
  <w:footnote w:id="505">
    <w:p w:rsidR="009A6BD2" w:rsidRDefault="003E2D0F">
      <w:pPr>
        <w:pStyle w:val="Testonotaapidipagina"/>
      </w:pPr>
      <w:r>
        <w:rPr>
          <w:rStyle w:val="Rimandonotaapidipagina"/>
        </w:rPr>
        <w:footnoteRef/>
      </w:r>
      <w:r>
        <w:t xml:space="preserve"> </w:t>
      </w:r>
      <w:r>
        <w:tab/>
        <w:t xml:space="preserve">Le principe est passé de la religion dans la magie : c'est le totum </w:t>
      </w:r>
      <w:r>
        <w:rPr>
          <w:i/>
          <w:iCs/>
        </w:rPr>
        <w:t>ex parte</w:t>
      </w:r>
      <w:r>
        <w:t xml:space="preserve"> des alchimistes.</w:t>
      </w:r>
    </w:p>
  </w:footnote>
  <w:footnote w:id="506">
    <w:p w:rsidR="009A6BD2" w:rsidRDefault="003E2D0F">
      <w:pPr>
        <w:pStyle w:val="Testonotaapidipagina"/>
      </w:pPr>
      <w:r>
        <w:rPr>
          <w:rStyle w:val="Rimandonotaapidipagina"/>
        </w:rPr>
        <w:footnoteRef/>
      </w:r>
      <w:r>
        <w:t xml:space="preserve"> </w:t>
      </w:r>
      <w:r>
        <w:tab/>
        <w:t>V. sur ce point Les règles de la méthod</w:t>
      </w:r>
      <w:r>
        <w:t>e sociologique, p. 5 et suiv.</w:t>
      </w:r>
    </w:p>
  </w:footnote>
  <w:footnote w:id="507">
    <w:p w:rsidR="009A6BD2" w:rsidRDefault="003E2D0F">
      <w:pPr>
        <w:pStyle w:val="Testonotaapidipagina"/>
      </w:pPr>
      <w:r>
        <w:rPr>
          <w:rStyle w:val="Rimandonotaapidipagina"/>
        </w:rPr>
        <w:footnoteRef/>
      </w:r>
      <w:r>
        <w:t xml:space="preserve"> </w:t>
      </w:r>
      <w:r>
        <w:tab/>
        <w:t>Procope de GAZA, Commentarii in Isaiam, 496.</w:t>
      </w:r>
    </w:p>
  </w:footnote>
  <w:footnote w:id="508">
    <w:p w:rsidR="009A6BD2" w:rsidRDefault="003E2D0F">
      <w:pPr>
        <w:pStyle w:val="Testonotaapidipagina"/>
      </w:pPr>
      <w:r>
        <w:rPr>
          <w:rStyle w:val="Rimandonotaapidipagina"/>
        </w:rPr>
        <w:footnoteRef/>
      </w:r>
      <w:r>
        <w:t xml:space="preserve"> </w:t>
      </w:r>
      <w:r>
        <w:tab/>
        <w:t xml:space="preserve">V. THÉBENOT, Voyage au Levant, Paris, 1689, p. 638. Le fait fut encore observé en 1862 : cf. BERCHON, Histoire médicale du tatouage, 1869, Archives de médecine navale, XI, p. </w:t>
      </w:r>
      <w:r>
        <w:t>377.</w:t>
      </w:r>
    </w:p>
  </w:footnote>
  <w:footnote w:id="509">
    <w:p w:rsidR="009A6BD2" w:rsidRDefault="003E2D0F">
      <w:pPr>
        <w:pStyle w:val="Testonotaapidipagina"/>
      </w:pPr>
      <w:r>
        <w:rPr>
          <w:rStyle w:val="Rimandonotaapidipagina"/>
        </w:rPr>
        <w:footnoteRef/>
      </w:r>
      <w:r>
        <w:t xml:space="preserve"> </w:t>
      </w:r>
      <w:r>
        <w:tab/>
        <w:t>LACASSAGNE, Les tatouages, p. 10.</w:t>
      </w:r>
    </w:p>
  </w:footnote>
  <w:footnote w:id="510">
    <w:p w:rsidR="009A6BD2" w:rsidRDefault="003E2D0F">
      <w:pPr>
        <w:pStyle w:val="Testonotaapidipagina"/>
      </w:pPr>
      <w:r>
        <w:rPr>
          <w:rStyle w:val="Rimandonotaapidipagina"/>
        </w:rPr>
        <w:footnoteRef/>
      </w:r>
      <w:r>
        <w:t xml:space="preserve"> </w:t>
      </w:r>
      <w:r>
        <w:tab/>
        <w:t>LOMBROSO, L'homme criminel, I, p. 292.</w:t>
      </w:r>
    </w:p>
  </w:footnote>
  <w:footnote w:id="511">
    <w:p w:rsidR="009A6BD2" w:rsidRDefault="003E2D0F">
      <w:pPr>
        <w:pStyle w:val="Testonotaapidipagina"/>
      </w:pPr>
      <w:r>
        <w:rPr>
          <w:rStyle w:val="Rimandonotaapidipagina"/>
        </w:rPr>
        <w:footnoteRef/>
      </w:r>
      <w:r>
        <w:t xml:space="preserve"> </w:t>
      </w:r>
      <w:r>
        <w:tab/>
        <w:t>Lombroso, ibid., I, pp. 268,285,291-292; Lacassagne, op. cit., p. 97.</w:t>
      </w:r>
    </w:p>
  </w:footnote>
  <w:footnote w:id="512">
    <w:p w:rsidR="009A6BD2" w:rsidRDefault="003E2D0F">
      <w:pPr>
        <w:pStyle w:val="Testonotaapidipagina"/>
      </w:pPr>
      <w:r>
        <w:rPr>
          <w:rStyle w:val="Rimandonotaapidipagina"/>
        </w:rPr>
        <w:footnoteRef/>
      </w:r>
      <w:r>
        <w:t xml:space="preserve"> </w:t>
      </w:r>
      <w:r>
        <w:tab/>
        <w:t>V. plus haut p. 178.</w:t>
      </w:r>
    </w:p>
  </w:footnote>
  <w:footnote w:id="513">
    <w:p w:rsidR="009A6BD2" w:rsidRDefault="003E2D0F">
      <w:pPr>
        <w:pStyle w:val="Testonotaapidipagina"/>
      </w:pPr>
      <w:r>
        <w:rPr>
          <w:rStyle w:val="Rimandonotaapidipagina"/>
        </w:rPr>
        <w:footnoteRef/>
      </w:r>
      <w:r>
        <w:t xml:space="preserve"> </w:t>
      </w:r>
      <w:r>
        <w:tab/>
        <w:t>V. sur l'autorité des chefs SPENCER et GILLEN, Nat. Tr., p. 10; North. T</w:t>
      </w:r>
      <w:r>
        <w:t>r., p. 25; HOWITT, Nat. Tr., p. 295 et suiv.</w:t>
      </w:r>
    </w:p>
  </w:footnote>
  <w:footnote w:id="514">
    <w:p w:rsidR="009A6BD2" w:rsidRDefault="003E2D0F">
      <w:pPr>
        <w:pStyle w:val="Testonotaapidipagina"/>
      </w:pPr>
      <w:r>
        <w:rPr>
          <w:rStyle w:val="Rimandonotaapidipagina"/>
        </w:rPr>
        <w:footnoteRef/>
      </w:r>
      <w:r>
        <w:t xml:space="preserve"> </w:t>
      </w:r>
      <w:r>
        <w:tab/>
        <w:t>Du moins en Australie. En Amérique, la population est le plus généralement sédentaire : mais le clan américain représente une forme d'organisation relativement avancée.</w:t>
      </w:r>
    </w:p>
  </w:footnote>
  <w:footnote w:id="515">
    <w:p w:rsidR="009A6BD2" w:rsidRDefault="003E2D0F">
      <w:pPr>
        <w:pStyle w:val="Testonotaapidipagina"/>
      </w:pPr>
      <w:r>
        <w:rPr>
          <w:rStyle w:val="Rimandonotaapidipagina"/>
        </w:rPr>
        <w:footnoteRef/>
      </w:r>
      <w:r>
        <w:t xml:space="preserve"> </w:t>
      </w:r>
      <w:r>
        <w:tab/>
        <w:t>Il suffit, pour s'en assurer, de reg</w:t>
      </w:r>
      <w:r>
        <w:t>arder la carte dressée par Thomas dans Kinship and Marriage in Australia, p. 40. Pour apprécier cette carte comme il convient, il faut tenir compte de ce fait que l'auteur a étendu, nous ne savons pourquoi, le système de la filiation totémique en ligne pat</w:t>
      </w:r>
      <w:r>
        <w:t>ernelle jusqu'à la côte occidentale de l'Australie, bien que nous n'ayons pour ainsi dire pas de renseignements sur les tribus de cette région, qui, d'ailleurs, est en grande partie, désertique.</w:t>
      </w:r>
    </w:p>
  </w:footnote>
  <w:footnote w:id="516">
    <w:p w:rsidR="009A6BD2" w:rsidRDefault="003E2D0F">
      <w:pPr>
        <w:pStyle w:val="Testonotaapidipagina"/>
      </w:pPr>
      <w:r>
        <w:rPr>
          <w:rStyle w:val="Rimandonotaapidipagina"/>
        </w:rPr>
        <w:footnoteRef/>
      </w:r>
      <w:r>
        <w:t xml:space="preserve"> </w:t>
      </w:r>
      <w:r>
        <w:tab/>
        <w:t>Les astres sont souvent considérés, même par les Australie</w:t>
      </w:r>
      <w:r>
        <w:t>ns, comme le pays des âmes ou des personnages mythiques, ainsi que nous l'établirons dans le chapitre suivant: c'est dire qu'ils passent pour constituer un monde très différent de celui des vivants.</w:t>
      </w:r>
    </w:p>
  </w:footnote>
  <w:footnote w:id="517">
    <w:p w:rsidR="009A6BD2" w:rsidRDefault="003E2D0F">
      <w:pPr>
        <w:pStyle w:val="Testonotaapidipagina"/>
      </w:pPr>
      <w:r>
        <w:rPr>
          <w:rStyle w:val="Rimandonotaapidipagina"/>
        </w:rPr>
        <w:footnoteRef/>
      </w:r>
      <w:r>
        <w:t xml:space="preserve"> </w:t>
      </w:r>
      <w:r>
        <w:tab/>
        <w:t>Op. cit., I, p. 4. Cf. dans le même sens SCHULZE, loc.</w:t>
      </w:r>
      <w:r>
        <w:t xml:space="preserve"> cit., p. 243.</w:t>
      </w:r>
    </w:p>
  </w:footnote>
  <w:footnote w:id="518">
    <w:p w:rsidR="009A6BD2" w:rsidRDefault="003E2D0F">
      <w:pPr>
        <w:pStyle w:val="Testonotaapidipagina"/>
      </w:pPr>
      <w:r>
        <w:rPr>
          <w:rStyle w:val="Rimandonotaapidipagina"/>
        </w:rPr>
        <w:footnoteRef/>
      </w:r>
      <w:r>
        <w:t xml:space="preserve"> </w:t>
      </w:r>
      <w:r>
        <w:tab/>
        <w:t>Bien entendu, comme nous avons eu déjà l'occasion de le montrer (v. supra, p. 1221), ce choix ne se fit pas sans une entente plus ou moins concertée entre les différents groupes puisque chacun d'eux dut adopter un emblème différent de cel</w:t>
      </w:r>
      <w:r>
        <w:t>ui des voisins.</w:t>
      </w:r>
    </w:p>
  </w:footnote>
  <w:footnote w:id="519">
    <w:p w:rsidR="009A6BD2" w:rsidRDefault="003E2D0F">
      <w:pPr>
        <w:pStyle w:val="Testonotaapidipagina"/>
      </w:pPr>
      <w:r>
        <w:rPr>
          <w:rStyle w:val="Rimandonotaapidipagina"/>
        </w:rPr>
        <w:footnoteRef/>
      </w:r>
      <w:r>
        <w:t xml:space="preserve"> </w:t>
      </w:r>
      <w:r>
        <w:tab/>
        <w:t xml:space="preserve">L'état mental qui est étudié dans ce paragraphe est identique à celui que M. LÉVY-BRUHL appelle loi de participation </w:t>
      </w:r>
      <w:r>
        <w:rPr>
          <w:i/>
          <w:iCs/>
        </w:rPr>
        <w:t xml:space="preserve">(Les fonctions mentales dans les sociétés inférieures, </w:t>
      </w:r>
      <w:r>
        <w:t>p. 76 et suiv.). Les pages qui suivent étaient écrites quand paru</w:t>
      </w:r>
      <w:r>
        <w:t>t cet ouvrage ; nous les publions sous leur forme première sans y rien changer ; nous nous bornons à ajouter quelques explications où nous marquons comment nous nous séparons de M. Lévy-Bruhl dans l'appréciation des faits.</w:t>
      </w:r>
    </w:p>
  </w:footnote>
  <w:footnote w:id="520">
    <w:p w:rsidR="009A6BD2" w:rsidRDefault="003E2D0F">
      <w:pPr>
        <w:pStyle w:val="Testonotaapidipagina"/>
      </w:pPr>
      <w:r>
        <w:rPr>
          <w:rStyle w:val="Rimandonotaapidipagina"/>
        </w:rPr>
        <w:footnoteRef/>
      </w:r>
      <w:r>
        <w:t xml:space="preserve"> </w:t>
      </w:r>
      <w:r>
        <w:tab/>
        <w:t>V. plus haut, p. 307.</w:t>
      </w:r>
    </w:p>
  </w:footnote>
  <w:footnote w:id="521">
    <w:p w:rsidR="009A6BD2" w:rsidRDefault="003E2D0F">
      <w:pPr>
        <w:pStyle w:val="Testonotaapidipagina"/>
      </w:pPr>
      <w:r>
        <w:rPr>
          <w:rStyle w:val="Rimandonotaapidipagina"/>
        </w:rPr>
        <w:footnoteRef/>
      </w:r>
      <w:r>
        <w:t xml:space="preserve"> </w:t>
      </w:r>
      <w:r>
        <w:tab/>
        <w:t>Une a</w:t>
      </w:r>
      <w:r>
        <w:t>utre cause a contribué, pour une large part, à cette fusion; c'est l'extrême contagiosité des forces religieuses. Elles envahissent tout objet à leur portée, quel qu'il soit. C'est ainsi qu'une même force religieuse peut animer les choses les plus différen</w:t>
      </w:r>
      <w:r>
        <w:t>tes qui, par cela même, se trouvent étroitement rapprochées et classées dans un même genre. Nous reviendrons plus loin sur cette contagiosité en même temps que nous montrerons qu'elle tient aux origines sociales de la notion de sacré (v. liv. II, chap, III</w:t>
      </w:r>
      <w:r>
        <w:t xml:space="preserve">, </w:t>
      </w:r>
      <w:r>
        <w:rPr>
          <w:i/>
          <w:iCs/>
        </w:rPr>
        <w:t>in fine).</w:t>
      </w:r>
    </w:p>
  </w:footnote>
  <w:footnote w:id="522">
    <w:p w:rsidR="009A6BD2" w:rsidRDefault="003E2D0F">
      <w:pPr>
        <w:pStyle w:val="Testonotaapidipagina"/>
      </w:pPr>
      <w:r>
        <w:rPr>
          <w:rStyle w:val="Rimandonotaapidipagina"/>
        </w:rPr>
        <w:footnoteRef/>
      </w:r>
      <w:r>
        <w:t xml:space="preserve"> </w:t>
      </w:r>
      <w:r>
        <w:tab/>
        <w:t>LÉVY-BRUHL, Op. cit., p. 77 et suiv.</w:t>
      </w:r>
    </w:p>
  </w:footnote>
  <w:footnote w:id="523">
    <w:p w:rsidR="009A6BD2" w:rsidRDefault="003E2D0F">
      <w:pPr>
        <w:pStyle w:val="Testonotaapidipagina"/>
      </w:pPr>
      <w:r>
        <w:rPr>
          <w:rStyle w:val="Rimandonotaapidipagina"/>
        </w:rPr>
        <w:footnoteRef/>
      </w:r>
      <w:r>
        <w:t xml:space="preserve"> </w:t>
      </w:r>
      <w:r>
        <w:tab/>
        <w:t>Ibid., p. 79.</w:t>
      </w:r>
    </w:p>
  </w:footnote>
  <w:footnote w:id="524">
    <w:p w:rsidR="009A6BD2" w:rsidRDefault="003E2D0F">
      <w:pPr>
        <w:pStyle w:val="Testonotaapidipagina"/>
      </w:pPr>
      <w:r>
        <w:rPr>
          <w:rStyle w:val="Rimandonotaapidipagina"/>
        </w:rPr>
        <w:footnoteRef/>
      </w:r>
      <w:r>
        <w:t xml:space="preserve"> </w:t>
      </w:r>
      <w:r>
        <w:tab/>
        <w:t>V. plus haut, p. 207.</w:t>
      </w:r>
    </w:p>
  </w:footnote>
  <w:footnote w:id="525">
    <w:p w:rsidR="009A6BD2" w:rsidRDefault="003E2D0F">
      <w:pPr>
        <w:pStyle w:val="Testonotaapidipagina"/>
      </w:pPr>
      <w:r>
        <w:rPr>
          <w:rStyle w:val="Rimandonotaapidipagina"/>
        </w:rPr>
        <w:footnoteRef/>
      </w:r>
      <w:r>
        <w:t xml:space="preserve"> </w:t>
      </w:r>
      <w:r>
        <w:tab/>
        <w:t>C'est le cas des Gnanji; v. North. Tr., p. 170, p. 546; cf. un cas semblable, in BROUGH SMYTH, II, p. 269.</w:t>
      </w:r>
    </w:p>
  </w:footnote>
  <w:footnote w:id="526">
    <w:p w:rsidR="009A6BD2" w:rsidRDefault="003E2D0F">
      <w:pPr>
        <w:pStyle w:val="Testonotaapidipagina"/>
      </w:pPr>
      <w:r>
        <w:rPr>
          <w:rStyle w:val="Rimandonotaapidipagina"/>
        </w:rPr>
        <w:footnoteRef/>
      </w:r>
      <w:r>
        <w:t xml:space="preserve"> </w:t>
      </w:r>
      <w:r>
        <w:tab/>
        <w:t>Australian Aborigines, p. 51.</w:t>
      </w:r>
    </w:p>
  </w:footnote>
  <w:footnote w:id="527">
    <w:p w:rsidR="009A6BD2" w:rsidRDefault="003E2D0F">
      <w:pPr>
        <w:pStyle w:val="Testonotaapidipagina"/>
      </w:pPr>
      <w:r>
        <w:rPr>
          <w:rStyle w:val="Rimandonotaapidipagina"/>
        </w:rPr>
        <w:footnoteRef/>
      </w:r>
      <w:r>
        <w:t xml:space="preserve"> </w:t>
      </w:r>
      <w:r>
        <w:tab/>
        <w:t>Il y eut certain</w:t>
      </w:r>
      <w:r>
        <w:t>ement chez les Gnanji, un temps où les femmes avaient une âme; car il existe encore aujourd'hui un grand nombre d'âmes de femmes. Seulement, elles ne se réincarnent jamais; et comme, chez ce peuple, l'âme qui anime un nouveau-né est une âme ancienne qui se</w:t>
      </w:r>
      <w:r>
        <w:t xml:space="preserve"> réincarne, du fait que les âmes de femmes ne se réincarnent pas, il résulte que les femmes ne peuvent avoir d'âme. On peut, d'ailleurs, expliquer d'où vient cette absence de réincarnation. Chez les Gnanji, la filiation, après avoir été utérine, se fait au</w:t>
      </w:r>
      <w:r>
        <w:t xml:space="preserve">jourd'hui en ligne paternelle : la mère ne transmet pas son totem à l'enfant. La femme n'a donc jamais de descendants qui la perpétuent; elle est finis familiae suae. Pour expliquer cette situation, il n'y avait que deux hypothèses possibles : ou bien les </w:t>
      </w:r>
      <w:r>
        <w:t>femmes n'ont pas d'âmes, ou bien les âmes de femmes sont détruites après la mort. Les Gnanji ont adopté la première de ces deux explications : certains peuples du Queensland ont préféré la seconde (v. ROTH, Superstition, Magie and Medecine, in N. Queenslan</w:t>
      </w:r>
      <w:r>
        <w:t>d Ethnog., no 5, § 68).</w:t>
      </w:r>
    </w:p>
  </w:footnote>
  <w:footnote w:id="528">
    <w:p w:rsidR="009A6BD2" w:rsidRDefault="003E2D0F">
      <w:pPr>
        <w:pStyle w:val="Testonotaapidipagina"/>
      </w:pPr>
      <w:r>
        <w:rPr>
          <w:rStyle w:val="Rimandonotaapidipagina"/>
        </w:rPr>
        <w:footnoteRef/>
      </w:r>
      <w:r>
        <w:t xml:space="preserve"> </w:t>
      </w:r>
      <w:r>
        <w:tab/>
        <w:t>« Les enfants au-dessous de quatre ou cinq ans, n'ont ni âme ni vie future » dit Dawson. Mais le fait que traduit ainsi Dawson, c'est tout simplement l'absence de rites funéraires pour les enfants en bas âge. Nous en verrons plus</w:t>
      </w:r>
      <w:r>
        <w:t xml:space="preserve"> loin la signification véritable.</w:t>
      </w:r>
    </w:p>
  </w:footnote>
  <w:footnote w:id="529">
    <w:p w:rsidR="009A6BD2" w:rsidRDefault="003E2D0F">
      <w:pPr>
        <w:pStyle w:val="Testonotaapidipagina"/>
      </w:pPr>
      <w:r>
        <w:rPr>
          <w:rStyle w:val="Rimandonotaapidipagina"/>
        </w:rPr>
        <w:footnoteRef/>
      </w:r>
      <w:r>
        <w:t xml:space="preserve"> </w:t>
      </w:r>
      <w:r>
        <w:tab/>
        <w:t>Dawson, p. 51 ; PARKER, The Euahlayi, p. 35 ; EYLMANN, p. 188.</w:t>
      </w:r>
    </w:p>
  </w:footnote>
  <w:footnote w:id="530">
    <w:p w:rsidR="009A6BD2" w:rsidRDefault="003E2D0F">
      <w:pPr>
        <w:pStyle w:val="Testonotaapidipagina"/>
      </w:pPr>
      <w:r>
        <w:rPr>
          <w:rStyle w:val="Rimandonotaapidipagina"/>
        </w:rPr>
        <w:footnoteRef/>
      </w:r>
      <w:r>
        <w:t xml:space="preserve"> </w:t>
      </w:r>
      <w:r>
        <w:tab/>
        <w:t>North. Tr., p. 542; SCHURMANN, The Aboriginal Tribes of Port Lincoln, in WOODS, p. 235.</w:t>
      </w:r>
    </w:p>
  </w:footnote>
  <w:footnote w:id="531">
    <w:p w:rsidR="009A6BD2" w:rsidRDefault="003E2D0F">
      <w:pPr>
        <w:pStyle w:val="Testonotaapidipagina"/>
      </w:pPr>
      <w:r>
        <w:rPr>
          <w:rStyle w:val="Rimandonotaapidipagina"/>
        </w:rPr>
        <w:footnoteRef/>
      </w:r>
      <w:r>
        <w:t xml:space="preserve"> </w:t>
      </w:r>
      <w:r>
        <w:tab/>
        <w:t>C'est l'expression employée par Dawson, p. 50.</w:t>
      </w:r>
    </w:p>
  </w:footnote>
  <w:footnote w:id="532">
    <w:p w:rsidR="009A6BD2" w:rsidRDefault="003E2D0F">
      <w:pPr>
        <w:pStyle w:val="Testonotaapidipagina"/>
      </w:pPr>
      <w:r>
        <w:rPr>
          <w:rStyle w:val="Rimandonotaapidipagina"/>
        </w:rPr>
        <w:footnoteRef/>
      </w:r>
      <w:r>
        <w:t xml:space="preserve"> </w:t>
      </w:r>
      <w:r>
        <w:tab/>
        <w:t>STREHLOW, I,</w:t>
      </w:r>
      <w:r>
        <w:t xml:space="preserve"> p. 15 no 1 ; SCHULZE, loc. cit., p. 246. C'est le thème du mythe du vampire.</w:t>
      </w:r>
    </w:p>
  </w:footnote>
  <w:footnote w:id="533">
    <w:p w:rsidR="009A6BD2" w:rsidRDefault="003E2D0F">
      <w:pPr>
        <w:pStyle w:val="Testonotaapidipagina"/>
      </w:pPr>
      <w:r>
        <w:rPr>
          <w:rStyle w:val="Rimandonotaapidipagina"/>
        </w:rPr>
        <w:footnoteRef/>
      </w:r>
      <w:r>
        <w:t xml:space="preserve"> </w:t>
      </w:r>
      <w:r>
        <w:tab/>
        <w:t xml:space="preserve">STREHLOW, I, p. 15 ; SCHULZE, p. 244 ; Dawson, p. 51. Il est vrai qu'il est dit parfois des âmes qu'elles n'ont rien de corporel : d'après certains témoignages recueillis par </w:t>
      </w:r>
      <w:r>
        <w:t xml:space="preserve">Eylmann (p. 188), elles seraient ohne Fleisch und Blut. Mais ces négations radicales nous laissent sceptique. Le fait qu'on ne fait pas d'offrande aux âmes des morts n'implique nullement, comme le croit ROTH </w:t>
      </w:r>
      <w:r>
        <w:rPr>
          <w:i/>
          <w:iCs/>
        </w:rPr>
        <w:t xml:space="preserve">(Superstition, Magie, </w:t>
      </w:r>
      <w:r>
        <w:t>etc., § 65) qu'elles ne ma</w:t>
      </w:r>
      <w:r>
        <w:t>ngent pas.</w:t>
      </w:r>
    </w:p>
  </w:footnote>
  <w:footnote w:id="534">
    <w:p w:rsidR="009A6BD2" w:rsidRDefault="003E2D0F">
      <w:pPr>
        <w:pStyle w:val="Testonotaapidipagina"/>
      </w:pPr>
      <w:r>
        <w:rPr>
          <w:rStyle w:val="Rimandonotaapidipagina"/>
        </w:rPr>
        <w:footnoteRef/>
      </w:r>
      <w:r>
        <w:t xml:space="preserve"> </w:t>
      </w:r>
      <w:r>
        <w:tab/>
        <w:t>ROTH, ibid., § 65; North. Tr., p. 500. Il arrive ainsi que l'âme dégage des odeurs (ROTH, ibid., § 68).</w:t>
      </w:r>
    </w:p>
  </w:footnote>
  <w:footnote w:id="535">
    <w:p w:rsidR="009A6BD2" w:rsidRDefault="003E2D0F">
      <w:pPr>
        <w:pStyle w:val="Testonotaapidipagina"/>
      </w:pPr>
      <w:r>
        <w:rPr>
          <w:rStyle w:val="Rimandonotaapidipagina"/>
        </w:rPr>
        <w:footnoteRef/>
      </w:r>
      <w:r>
        <w:t xml:space="preserve"> </w:t>
      </w:r>
      <w:r>
        <w:tab/>
        <w:t>ROTH, ibid., § 67; Dawson, p. 51.</w:t>
      </w:r>
    </w:p>
  </w:footnote>
  <w:footnote w:id="536">
    <w:p w:rsidR="009A6BD2" w:rsidRDefault="003E2D0F">
      <w:pPr>
        <w:pStyle w:val="Testonotaapidipagina"/>
      </w:pPr>
      <w:r>
        <w:rPr>
          <w:rStyle w:val="Rimandonotaapidipagina"/>
        </w:rPr>
        <w:footnoteRef/>
      </w:r>
      <w:r>
        <w:t xml:space="preserve"> </w:t>
      </w:r>
      <w:r>
        <w:tab/>
        <w:t>ROTH, ibid., § 65.</w:t>
      </w:r>
    </w:p>
  </w:footnote>
  <w:footnote w:id="537">
    <w:p w:rsidR="009A6BD2" w:rsidRDefault="003E2D0F">
      <w:pPr>
        <w:pStyle w:val="Testonotaapidipagina"/>
      </w:pPr>
      <w:r>
        <w:rPr>
          <w:rStyle w:val="Rimandonotaapidipagina"/>
        </w:rPr>
        <w:footnoteRef/>
      </w:r>
      <w:r>
        <w:t xml:space="preserve"> </w:t>
      </w:r>
      <w:r>
        <w:tab/>
        <w:t>SCHÜRMANN, Aborig. Tr. of Port Lincoln, in WOODS, p. 235.</w:t>
      </w:r>
    </w:p>
  </w:footnote>
  <w:footnote w:id="538">
    <w:p w:rsidR="009A6BD2" w:rsidRDefault="003E2D0F">
      <w:pPr>
        <w:pStyle w:val="Testonotaapidipagina"/>
      </w:pPr>
      <w:r>
        <w:rPr>
          <w:rStyle w:val="Rimandonotaapidipagina"/>
        </w:rPr>
        <w:footnoteRef/>
      </w:r>
      <w:r>
        <w:t xml:space="preserve"> </w:t>
      </w:r>
      <w:r>
        <w:tab/>
        <w:t>PARKER, The Eua</w:t>
      </w:r>
      <w:r>
        <w:t>hlayi, p. 29, 35; ROTH, ibid., § 65, 67, 68.</w:t>
      </w:r>
    </w:p>
  </w:footnote>
  <w:footnote w:id="539">
    <w:p w:rsidR="009A6BD2" w:rsidRDefault="003E2D0F">
      <w:pPr>
        <w:pStyle w:val="Testonotaapidipagina"/>
      </w:pPr>
      <w:r>
        <w:rPr>
          <w:rStyle w:val="Rimandonotaapidipagina"/>
        </w:rPr>
        <w:footnoteRef/>
      </w:r>
      <w:r>
        <w:t xml:space="preserve"> </w:t>
      </w:r>
      <w:r>
        <w:tab/>
        <w:t>ROTH, Superstition, etc., § 65; STREHLOW, I, p. 15.</w:t>
      </w:r>
    </w:p>
  </w:footnote>
  <w:footnote w:id="540">
    <w:p w:rsidR="009A6BD2" w:rsidRDefault="003E2D0F">
      <w:pPr>
        <w:pStyle w:val="Testonotaapidipagina"/>
      </w:pPr>
      <w:r>
        <w:rPr>
          <w:rStyle w:val="Rimandonotaapidipagina"/>
        </w:rPr>
        <w:footnoteRef/>
      </w:r>
      <w:r>
        <w:t xml:space="preserve"> </w:t>
      </w:r>
      <w:r>
        <w:tab/>
        <w:t>STREHLOW, I, p. 14, no 1.</w:t>
      </w:r>
    </w:p>
  </w:footnote>
  <w:footnote w:id="541">
    <w:p w:rsidR="009A6BD2" w:rsidRDefault="003E2D0F">
      <w:pPr>
        <w:pStyle w:val="Testonotaapidipagina"/>
      </w:pPr>
      <w:r>
        <w:rPr>
          <w:rStyle w:val="Rimandonotaapidipagina"/>
        </w:rPr>
        <w:footnoteRef/>
      </w:r>
      <w:r>
        <w:t xml:space="preserve"> </w:t>
      </w:r>
      <w:r>
        <w:tab/>
        <w:t>FRAZER, On Certain Burial Customs, as Illustrative of the Primitive Theory of the Soul, in J.A.I., XV, p. 66.</w:t>
      </w:r>
    </w:p>
  </w:footnote>
  <w:footnote w:id="542">
    <w:p w:rsidR="009A6BD2" w:rsidRDefault="003E2D0F">
      <w:pPr>
        <w:pStyle w:val="Testonotaapidipagina"/>
      </w:pPr>
      <w:r>
        <w:rPr>
          <w:rStyle w:val="Rimandonotaapidipagina"/>
        </w:rPr>
        <w:footnoteRef/>
      </w:r>
      <w:r>
        <w:t xml:space="preserve"> </w:t>
      </w:r>
      <w:r>
        <w:tab/>
        <w:t>C'est le ca</w:t>
      </w:r>
      <w:r>
        <w:t>s chez les Kaitish et les Unmatjera. V. SPENCER et GILLEN, North. Tr., p. 506 et Nat. Tr., p. 512.</w:t>
      </w:r>
    </w:p>
  </w:footnote>
  <w:footnote w:id="543">
    <w:p w:rsidR="009A6BD2" w:rsidRDefault="003E2D0F">
      <w:pPr>
        <w:pStyle w:val="Testonotaapidipagina"/>
      </w:pPr>
      <w:r>
        <w:rPr>
          <w:rStyle w:val="Rimandonotaapidipagina"/>
        </w:rPr>
        <w:footnoteRef/>
      </w:r>
      <w:r>
        <w:t xml:space="preserve"> </w:t>
      </w:r>
      <w:r>
        <w:tab/>
        <w:t>BOTH, ibid., § 65, 66, 67, 68.</w:t>
      </w:r>
    </w:p>
  </w:footnote>
  <w:footnote w:id="544">
    <w:p w:rsidR="009A6BD2" w:rsidRDefault="003E2D0F">
      <w:pPr>
        <w:pStyle w:val="Testonotaapidipagina"/>
      </w:pPr>
      <w:r>
        <w:rPr>
          <w:rStyle w:val="Rimandonotaapidipagina"/>
        </w:rPr>
        <w:footnoteRef/>
      </w:r>
      <w:r>
        <w:t xml:space="preserve"> </w:t>
      </w:r>
      <w:r>
        <w:tab/>
        <w:t>ROTH, ibid., § 68 ; il est dit dans ce passage que, quand il y a évanouissement à la suite d'une perte de sang, c'est qu</w:t>
      </w:r>
      <w:r>
        <w:t>e l'âme est partie. Cf. PARKER, The Euahlayi, p. 38.</w:t>
      </w:r>
    </w:p>
  </w:footnote>
  <w:footnote w:id="545">
    <w:p w:rsidR="009A6BD2" w:rsidRDefault="003E2D0F">
      <w:pPr>
        <w:pStyle w:val="Testonotaapidipagina"/>
      </w:pPr>
      <w:r>
        <w:rPr>
          <w:rStyle w:val="Rimandonotaapidipagina"/>
        </w:rPr>
        <w:footnoteRef/>
      </w:r>
      <w:r>
        <w:t xml:space="preserve"> </w:t>
      </w:r>
      <w:r>
        <w:tab/>
        <w:t>PARKER, The Euahlayi, pp. 29 et 35 ; ROTH, ibid., § 65.</w:t>
      </w:r>
    </w:p>
  </w:footnote>
  <w:footnote w:id="546">
    <w:p w:rsidR="009A6BD2" w:rsidRDefault="003E2D0F">
      <w:pPr>
        <w:pStyle w:val="Testonotaapidipagina"/>
      </w:pPr>
      <w:r>
        <w:rPr>
          <w:rStyle w:val="Rimandonotaapidipagina"/>
        </w:rPr>
        <w:footnoteRef/>
      </w:r>
      <w:r>
        <w:t xml:space="preserve"> </w:t>
      </w:r>
      <w:r>
        <w:tab/>
        <w:t>STREHLOW, I, pp. 12, 14. Il est parlé dans ces différents passages de mauvais esprits qui tuent de petits enfants, dont ils mangent l'âme, le</w:t>
      </w:r>
      <w:r>
        <w:t xml:space="preserve"> foie et la graisse, ou bien l'âme, le foie et les rognons. Le fait que l'âme est ainsi mise sur le même pied que des différents viscères ou tissus et constitue un aliment du même genre montre bien l'étroit rapport qu'elle soutient avec eux. Cf. Schulze, p</w:t>
      </w:r>
      <w:r>
        <w:t>. 246.</w:t>
      </w:r>
    </w:p>
  </w:footnote>
  <w:footnote w:id="547">
    <w:p w:rsidR="009A6BD2" w:rsidRDefault="003E2D0F">
      <w:pPr>
        <w:pStyle w:val="Testonotaapidipagina"/>
      </w:pPr>
      <w:r>
        <w:rPr>
          <w:rStyle w:val="Rimandonotaapidipagina"/>
        </w:rPr>
        <w:footnoteRef/>
      </w:r>
      <w:r>
        <w:t xml:space="preserve"> </w:t>
      </w:r>
      <w:r>
        <w:tab/>
        <w:t>Par exemple, chez les gens de la rivière Pennefather (ROTH, ibid., § 68), il y a un nom pour l'âme qui réside dans le cœur (Ngai), un autre pour celle qui réside dans le placenta (Cho-i), un troisième pour celle qui se confond avec le souffle (Wa</w:t>
      </w:r>
      <w:r>
        <w:t>nji). Chez les Euahlayi, il y a trois et jusqu'à quatre âmes (PARKER, The Euahlayi, p. 35).</w:t>
      </w:r>
    </w:p>
  </w:footnote>
  <w:footnote w:id="548">
    <w:p w:rsidR="009A6BD2" w:rsidRDefault="003E2D0F">
      <w:pPr>
        <w:pStyle w:val="Testonotaapidipagina"/>
      </w:pPr>
      <w:r>
        <w:rPr>
          <w:rStyle w:val="Rimandonotaapidipagina"/>
        </w:rPr>
        <w:footnoteRef/>
      </w:r>
      <w:r>
        <w:t xml:space="preserve"> </w:t>
      </w:r>
      <w:r>
        <w:tab/>
        <w:t>V. la description du rite de l'Urpmilchima, chez les Arunta (SPENCER et GILLEN, Nat. Tr., p. 503 et suiv.).</w:t>
      </w:r>
    </w:p>
  </w:footnote>
  <w:footnote w:id="549">
    <w:p w:rsidR="009A6BD2" w:rsidRDefault="003E2D0F">
      <w:pPr>
        <w:pStyle w:val="Testonotaapidipagina"/>
      </w:pPr>
      <w:r>
        <w:rPr>
          <w:rStyle w:val="Rimandonotaapidipagina"/>
        </w:rPr>
        <w:footnoteRef/>
      </w:r>
      <w:r>
        <w:t xml:space="preserve"> </w:t>
      </w:r>
      <w:r>
        <w:tab/>
        <w:t>SPENCER et GILLEN, Nat. Tr., pp. 497 et 508.</w:t>
      </w:r>
    </w:p>
  </w:footnote>
  <w:footnote w:id="550">
    <w:p w:rsidR="009A6BD2" w:rsidRDefault="003E2D0F">
      <w:pPr>
        <w:pStyle w:val="Testonotaapidipagina"/>
      </w:pPr>
      <w:r>
        <w:rPr>
          <w:rStyle w:val="Rimandonotaapidipagina"/>
        </w:rPr>
        <w:footnoteRef/>
      </w:r>
      <w:r>
        <w:t xml:space="preserve"> </w:t>
      </w:r>
      <w:r>
        <w:tab/>
        <w:t>SP</w:t>
      </w:r>
      <w:r>
        <w:t>ENCER et GILLEN, North. Tr., pp. 547, 548.</w:t>
      </w:r>
    </w:p>
  </w:footnote>
  <w:footnote w:id="551">
    <w:p w:rsidR="009A6BD2" w:rsidRDefault="003E2D0F">
      <w:pPr>
        <w:pStyle w:val="Testonotaapidipagina"/>
      </w:pPr>
      <w:r>
        <w:rPr>
          <w:rStyle w:val="Rimandonotaapidipagina"/>
        </w:rPr>
        <w:footnoteRef/>
      </w:r>
      <w:r>
        <w:t xml:space="preserve"> </w:t>
      </w:r>
      <w:r>
        <w:tab/>
        <w:t>Ibid., p. 506, p. 527 et suiv.</w:t>
      </w:r>
    </w:p>
  </w:footnote>
  <w:footnote w:id="552">
    <w:p w:rsidR="009A6BD2" w:rsidRDefault="003E2D0F">
      <w:pPr>
        <w:pStyle w:val="Testonotaapidipagina"/>
      </w:pPr>
      <w:r>
        <w:rPr>
          <w:rStyle w:val="Rimandonotaapidipagina"/>
        </w:rPr>
        <w:footnoteRef/>
      </w:r>
      <w:r>
        <w:t xml:space="preserve"> </w:t>
      </w:r>
      <w:r>
        <w:tab/>
        <w:t>MEYER, The Encounter Bay Tribe, in WOODS, p. 198.</w:t>
      </w:r>
    </w:p>
  </w:footnote>
  <w:footnote w:id="553">
    <w:p w:rsidR="009A6BD2" w:rsidRDefault="003E2D0F">
      <w:pPr>
        <w:pStyle w:val="Testonotaapidipagina"/>
      </w:pPr>
      <w:r>
        <w:rPr>
          <w:rStyle w:val="Rimandonotaapidipagina"/>
        </w:rPr>
        <w:footnoteRef/>
      </w:r>
      <w:r>
        <w:t xml:space="preserve"> </w:t>
      </w:r>
      <w:r>
        <w:tab/>
        <w:t>SPENCER et GILLEN, North. Tr., p. 551, 463; Nat. Tr., p. 553.</w:t>
      </w:r>
    </w:p>
  </w:footnote>
  <w:footnote w:id="554">
    <w:p w:rsidR="009A6BD2" w:rsidRDefault="003E2D0F">
      <w:pPr>
        <w:pStyle w:val="Testonotaapidipagina"/>
      </w:pPr>
      <w:r>
        <w:rPr>
          <w:rStyle w:val="Rimandonotaapidipagina"/>
        </w:rPr>
        <w:footnoteRef/>
      </w:r>
      <w:r>
        <w:t xml:space="preserve"> </w:t>
      </w:r>
      <w:r>
        <w:tab/>
        <w:t>SPENCER et GILLEN, North. Tr., p. 540.</w:t>
      </w:r>
    </w:p>
  </w:footnote>
  <w:footnote w:id="555">
    <w:p w:rsidR="009A6BD2" w:rsidRDefault="003E2D0F">
      <w:pPr>
        <w:pStyle w:val="Testonotaapidipagina"/>
      </w:pPr>
      <w:r>
        <w:rPr>
          <w:rStyle w:val="Rimandonotaapidipagina"/>
        </w:rPr>
        <w:footnoteRef/>
      </w:r>
      <w:r>
        <w:t xml:space="preserve"> </w:t>
      </w:r>
      <w:r>
        <w:tab/>
        <w:t>Par exemple, che</w:t>
      </w:r>
      <w:r>
        <w:t xml:space="preserve">z les Arunta et chez les Loritja (STREHLOW, I, p. 15, no 2 ; II, p. 77). L'âme, pendant la vie, s'appelle guruna et Llana après la mort. Le Ltana de Strehlow est identique à l'ulthana de SPENCER et GILLEN (Nat. Tr., p. 514 et suiv.). De même chez les gens </w:t>
      </w:r>
      <w:r>
        <w:t>de la rivière Bloomfield (ROTH, Superstition, etc., § 66).</w:t>
      </w:r>
    </w:p>
  </w:footnote>
  <w:footnote w:id="556">
    <w:p w:rsidR="009A6BD2" w:rsidRDefault="003E2D0F">
      <w:pPr>
        <w:pStyle w:val="Testonotaapidipagina"/>
      </w:pPr>
      <w:r>
        <w:rPr>
          <w:rStyle w:val="Rimandonotaapidipagina"/>
        </w:rPr>
        <w:footnoteRef/>
      </w:r>
      <w:r>
        <w:t xml:space="preserve"> </w:t>
      </w:r>
      <w:r>
        <w:tab/>
        <w:t>EYLMANN, p. 188.</w:t>
      </w:r>
    </w:p>
  </w:footnote>
  <w:footnote w:id="557">
    <w:p w:rsidR="009A6BD2" w:rsidRDefault="003E2D0F">
      <w:pPr>
        <w:pStyle w:val="Testonotaapidipagina"/>
      </w:pPr>
      <w:r>
        <w:rPr>
          <w:rStyle w:val="Rimandonotaapidipagina"/>
        </w:rPr>
        <w:footnoteRef/>
      </w:r>
      <w:r>
        <w:t xml:space="preserve"> </w:t>
      </w:r>
      <w:r>
        <w:tab/>
        <w:t>SPENCER et GILLEN, Nat. Tr., pp. 524, 491, 496.</w:t>
      </w:r>
    </w:p>
  </w:footnote>
  <w:footnote w:id="558">
    <w:p w:rsidR="009A6BD2" w:rsidRDefault="003E2D0F">
      <w:pPr>
        <w:pStyle w:val="Testonotaapidipagina"/>
      </w:pPr>
      <w:r>
        <w:rPr>
          <w:rStyle w:val="Rimandonotaapidipagina"/>
        </w:rPr>
        <w:footnoteRef/>
      </w:r>
      <w:r>
        <w:t xml:space="preserve"> </w:t>
      </w:r>
      <w:r>
        <w:tab/>
        <w:t>SPENCER et GILLEN, North. Tr., pp. 542, 508.</w:t>
      </w:r>
    </w:p>
  </w:footnote>
  <w:footnote w:id="559">
    <w:p w:rsidR="009A6BD2" w:rsidRDefault="003E2D0F">
      <w:pPr>
        <w:pStyle w:val="Testonotaapidipagina"/>
      </w:pPr>
      <w:r>
        <w:rPr>
          <w:rStyle w:val="Rimandonotaapidipagina"/>
        </w:rPr>
        <w:footnoteRef/>
      </w:r>
      <w:r>
        <w:t xml:space="preserve"> </w:t>
      </w:r>
      <w:r>
        <w:tab/>
        <w:t>MATHEWS, Ethnol. Notes on the Aboriginal Tribes of N. S. Wales a. Victoria,</w:t>
      </w:r>
      <w:r>
        <w:t xml:space="preserve"> in Journ. a. Proc. of the B. S. of N. S. Wales, XXXVIII, p. 287.</w:t>
      </w:r>
    </w:p>
  </w:footnote>
  <w:footnote w:id="560">
    <w:p w:rsidR="009A6BD2" w:rsidRDefault="003E2D0F">
      <w:pPr>
        <w:pStyle w:val="Testonotaapidipagina"/>
      </w:pPr>
      <w:r>
        <w:rPr>
          <w:rStyle w:val="Rimandonotaapidipagina"/>
        </w:rPr>
        <w:footnoteRef/>
      </w:r>
      <w:r>
        <w:t xml:space="preserve"> </w:t>
      </w:r>
      <w:r>
        <w:tab/>
        <w:t>STREHLOW, I, p. 15 et suiv. Ainsi, d'après Strehlow, chez les Arunta, les morts vivent dans une île; d'après Spencer et Gillen, dans un lieu souterrain. Il est probable que les deux mythe</w:t>
      </w:r>
      <w:r>
        <w:t>s coexistent, et ils ne sont pas les seuls. Nous verrons qu'on en trouve même un troisième. Sur cette conception de l'île des morts, cf. HOWITT, Nat. Tr., p. 498; SCHÜRMANN, Aborig. Tr. of Port Lincoln, in WOODS, p. 235; EYLMANN, p. 189.</w:t>
      </w:r>
    </w:p>
  </w:footnote>
  <w:footnote w:id="561">
    <w:p w:rsidR="009A6BD2" w:rsidRDefault="003E2D0F">
      <w:pPr>
        <w:pStyle w:val="Testonotaapidipagina"/>
      </w:pPr>
      <w:r>
        <w:rPr>
          <w:rStyle w:val="Rimandonotaapidipagina"/>
        </w:rPr>
        <w:footnoteRef/>
      </w:r>
      <w:r>
        <w:t xml:space="preserve"> </w:t>
      </w:r>
      <w:r>
        <w:tab/>
        <w:t>SCHULZE, p. 244</w:t>
      </w:r>
      <w:r>
        <w:t>.</w:t>
      </w:r>
    </w:p>
  </w:footnote>
  <w:footnote w:id="562">
    <w:p w:rsidR="009A6BD2" w:rsidRDefault="003E2D0F">
      <w:pPr>
        <w:pStyle w:val="Testonotaapidipagina"/>
      </w:pPr>
      <w:r>
        <w:rPr>
          <w:rStyle w:val="Rimandonotaapidipagina"/>
        </w:rPr>
        <w:footnoteRef/>
      </w:r>
      <w:r>
        <w:t xml:space="preserve"> </w:t>
      </w:r>
      <w:r>
        <w:tab/>
        <w:t>DAWSON, p. 51.</w:t>
      </w:r>
    </w:p>
  </w:footnote>
  <w:footnote w:id="563">
    <w:p w:rsidR="009A6BD2" w:rsidRDefault="003E2D0F">
      <w:pPr>
        <w:pStyle w:val="Testonotaapidipagina"/>
      </w:pPr>
      <w:r>
        <w:rPr>
          <w:rStyle w:val="Rimandonotaapidipagina"/>
        </w:rPr>
        <w:footnoteRef/>
      </w:r>
      <w:r>
        <w:t xml:space="preserve"> </w:t>
      </w:r>
      <w:r>
        <w:tab/>
        <w:t>On trouve dans ces mêmes tribus les traces évidentes d'un mythe plus ancien, d'après lequel les âmes vivaient dans un lieu souterrain (Dawson, Ibid.).</w:t>
      </w:r>
    </w:p>
  </w:footnote>
  <w:footnote w:id="564">
    <w:p w:rsidR="009A6BD2" w:rsidRDefault="003E2D0F">
      <w:pPr>
        <w:pStyle w:val="Testonotaapidipagina"/>
      </w:pPr>
      <w:r>
        <w:rPr>
          <w:rStyle w:val="Rimandonotaapidipagina"/>
        </w:rPr>
        <w:footnoteRef/>
      </w:r>
      <w:r>
        <w:t xml:space="preserve"> </w:t>
      </w:r>
      <w:r>
        <w:tab/>
        <w:t>TAPLIN, The Narrinyeri, pp. 18-19; HOWITT, Nat. Tr., p. 473; STREHLOW, I, p. 16</w:t>
      </w:r>
      <w:r>
        <w:t>.</w:t>
      </w:r>
    </w:p>
  </w:footnote>
  <w:footnote w:id="565">
    <w:p w:rsidR="009A6BD2" w:rsidRDefault="003E2D0F">
      <w:pPr>
        <w:pStyle w:val="Testonotaapidipagina"/>
      </w:pPr>
      <w:r>
        <w:rPr>
          <w:rStyle w:val="Rimandonotaapidipagina"/>
        </w:rPr>
        <w:footnoteRef/>
      </w:r>
      <w:r>
        <w:t xml:space="preserve"> </w:t>
      </w:r>
      <w:r>
        <w:tab/>
        <w:t>HOWITT, Nat. Tr., p. 498.</w:t>
      </w:r>
    </w:p>
  </w:footnote>
  <w:footnote w:id="566">
    <w:p w:rsidR="009A6BD2" w:rsidRDefault="003E2D0F">
      <w:pPr>
        <w:pStyle w:val="Testonotaapidipagina"/>
      </w:pPr>
      <w:r>
        <w:rPr>
          <w:rStyle w:val="Rimandonotaapidipagina"/>
        </w:rPr>
        <w:footnoteRef/>
      </w:r>
      <w:r>
        <w:t xml:space="preserve"> </w:t>
      </w:r>
      <w:r>
        <w:tab/>
        <w:t>STREHLOW, I, p. 16; EYLMANN, p. 189; HOWITT, Nat. Tr., p. 473.</w:t>
      </w:r>
    </w:p>
  </w:footnote>
  <w:footnote w:id="567">
    <w:p w:rsidR="009A6BD2" w:rsidRDefault="003E2D0F">
      <w:pPr>
        <w:pStyle w:val="Testonotaapidipagina"/>
      </w:pPr>
      <w:r>
        <w:rPr>
          <w:rStyle w:val="Rimandonotaapidipagina"/>
        </w:rPr>
        <w:footnoteRef/>
      </w:r>
      <w:r>
        <w:t xml:space="preserve"> </w:t>
      </w:r>
      <w:r>
        <w:tab/>
        <w:t>Ce sont les esprits des ancêtres d'un clan spécial, le clan de la poche à venin (Giftdrüsenmänner).</w:t>
      </w:r>
    </w:p>
  </w:footnote>
  <w:footnote w:id="568">
    <w:p w:rsidR="009A6BD2" w:rsidRDefault="003E2D0F">
      <w:pPr>
        <w:pStyle w:val="Testonotaapidipagina"/>
      </w:pPr>
      <w:r>
        <w:rPr>
          <w:rStyle w:val="Rimandonotaapidipagina"/>
        </w:rPr>
        <w:footnoteRef/>
      </w:r>
      <w:r>
        <w:t xml:space="preserve"> </w:t>
      </w:r>
      <w:r>
        <w:tab/>
        <w:t>Parfois l'action des missionnaires est manifeste. Daw</w:t>
      </w:r>
      <w:r>
        <w:t>son nous parle d'un véritable enfer opposé au paradis; lui même tend à voir dans cette conception une importation européenne.</w:t>
      </w:r>
    </w:p>
  </w:footnote>
  <w:footnote w:id="569">
    <w:p w:rsidR="009A6BD2" w:rsidRDefault="003E2D0F">
      <w:pPr>
        <w:pStyle w:val="Testonotaapidipagina"/>
      </w:pPr>
      <w:r>
        <w:rPr>
          <w:rStyle w:val="Rimandonotaapidipagina"/>
        </w:rPr>
        <w:footnoteRef/>
      </w:r>
      <w:r>
        <w:t xml:space="preserve"> </w:t>
      </w:r>
      <w:r>
        <w:tab/>
        <w:t>V. Dorsey, Siouan Cults, in XIth Rep., pp. 419-420, 422,485; et. MARILLIER, La survivance de l'âme et l'idée de justice chez le</w:t>
      </w:r>
      <w:r>
        <w:t>s peuples non civilisés, Rapport de l'École des Hautes Études, 1893.</w:t>
      </w:r>
    </w:p>
  </w:footnote>
  <w:footnote w:id="570">
    <w:p w:rsidR="009A6BD2" w:rsidRDefault="003E2D0F">
      <w:pPr>
        <w:pStyle w:val="Testonotaapidipagina"/>
      </w:pPr>
      <w:r>
        <w:rPr>
          <w:rStyle w:val="Rimandonotaapidipagina"/>
        </w:rPr>
        <w:footnoteRef/>
      </w:r>
      <w:r>
        <w:t xml:space="preserve"> </w:t>
      </w:r>
      <w:r>
        <w:tab/>
        <w:t>Elles peuvent se dédoubler provisoirement, comme nous verrons au chapitre suivant; mais ces dédoublements n'ajoutent pas une unité au nombre des âmes susceptibles de se réincarner.</w:t>
      </w:r>
    </w:p>
  </w:footnote>
  <w:footnote w:id="571">
    <w:p w:rsidR="009A6BD2" w:rsidRDefault="003E2D0F">
      <w:pPr>
        <w:pStyle w:val="Testonotaapidipagina"/>
      </w:pPr>
      <w:r>
        <w:rPr>
          <w:rStyle w:val="Rimandonotaapidipagina"/>
        </w:rPr>
        <w:footnoteRef/>
      </w:r>
      <w:r>
        <w:t xml:space="preserve"> </w:t>
      </w:r>
      <w:r>
        <w:tab/>
      </w:r>
      <w:r>
        <w:t>STREHLOW, I, p. 2.</w:t>
      </w:r>
    </w:p>
  </w:footnote>
  <w:footnote w:id="572">
    <w:p w:rsidR="009A6BD2" w:rsidRDefault="003E2D0F">
      <w:pPr>
        <w:pStyle w:val="Testonotaapidipagina"/>
      </w:pPr>
      <w:r>
        <w:rPr>
          <w:rStyle w:val="Rimandonotaapidipagina"/>
        </w:rPr>
        <w:footnoteRef/>
      </w:r>
      <w:r>
        <w:t xml:space="preserve"> </w:t>
      </w:r>
      <w:r>
        <w:tab/>
        <w:t>Nat. Tr., p. 73, no 1.</w:t>
      </w:r>
    </w:p>
  </w:footnote>
  <w:footnote w:id="573">
    <w:p w:rsidR="009A6BD2" w:rsidRDefault="003E2D0F">
      <w:pPr>
        <w:pStyle w:val="Testonotaapidipagina"/>
      </w:pPr>
      <w:r>
        <w:rPr>
          <w:rStyle w:val="Rimandonotaapidipagina"/>
        </w:rPr>
        <w:footnoteRef/>
      </w:r>
      <w:r>
        <w:t xml:space="preserve"> </w:t>
      </w:r>
      <w:r>
        <w:tab/>
        <w:t>V. sur cet ensemble de conceptions, SPENCER et GILLEN, Nat. Tr., pp. 119, 123-127, 387 et suiv. ; North. Tr., pp. 145-174. Chez les Gnanji, ce n'est pas nécessairement auprès de l'oknanikilla qu'a lieu la con</w:t>
      </w:r>
      <w:r>
        <w:t>ception. mais on croit que chaque couple est accompagné, dans ses pérégrinations sur le continent, d'un essaim d'âmes du totem du mari. Quand l'occasion est venue, l'une de ces âmes pénètre dans le corps de la femme et la féconde, où que celle-ci se trouve</w:t>
      </w:r>
      <w:r>
        <w:t xml:space="preserve"> (North. Tr., p. 169).</w:t>
      </w:r>
    </w:p>
  </w:footnote>
  <w:footnote w:id="574">
    <w:p w:rsidR="009A6BD2" w:rsidRDefault="003E2D0F">
      <w:pPr>
        <w:pStyle w:val="Testonotaapidipagina"/>
      </w:pPr>
      <w:r>
        <w:rPr>
          <w:rStyle w:val="Rimandonotaapidipagina"/>
        </w:rPr>
        <w:footnoteRef/>
      </w:r>
      <w:r>
        <w:t xml:space="preserve"> </w:t>
      </w:r>
      <w:r>
        <w:tab/>
        <w:t>Nat. Tr., pp. 512-513. Cf. chap. X et XI.</w:t>
      </w:r>
    </w:p>
  </w:footnote>
  <w:footnote w:id="575">
    <w:p w:rsidR="009A6BD2" w:rsidRDefault="003E2D0F">
      <w:pPr>
        <w:pStyle w:val="Testonotaapidipagina"/>
      </w:pPr>
      <w:r>
        <w:rPr>
          <w:rStyle w:val="Rimandonotaapidipagina"/>
        </w:rPr>
        <w:footnoteRef/>
      </w:r>
      <w:r>
        <w:t xml:space="preserve"> </w:t>
      </w:r>
      <w:r>
        <w:tab/>
        <w:t>Ibid., p. 119.</w:t>
      </w:r>
    </w:p>
  </w:footnote>
  <w:footnote w:id="576">
    <w:p w:rsidR="009A6BD2" w:rsidRDefault="003E2D0F">
      <w:pPr>
        <w:pStyle w:val="Testonotaapidipagina"/>
      </w:pPr>
      <w:r>
        <w:rPr>
          <w:rStyle w:val="Rimandonotaapidipagina"/>
        </w:rPr>
        <w:footnoteRef/>
      </w:r>
      <w:r>
        <w:t xml:space="preserve"> </w:t>
      </w:r>
      <w:r>
        <w:tab/>
        <w:t>Chez les Kaitish (North. Tr., p. 154), chez les Urabunna (North. Tr., p. 146).</w:t>
      </w:r>
    </w:p>
  </w:footnote>
  <w:footnote w:id="577">
    <w:p w:rsidR="009A6BD2" w:rsidRDefault="003E2D0F">
      <w:pPr>
        <w:pStyle w:val="Testonotaapidipagina"/>
      </w:pPr>
      <w:r>
        <w:rPr>
          <w:rStyle w:val="Rimandonotaapidipagina"/>
        </w:rPr>
        <w:footnoteRef/>
      </w:r>
      <w:r>
        <w:t xml:space="preserve"> </w:t>
      </w:r>
      <w:r>
        <w:tab/>
        <w:t>C'est le cas chez les Warramunga et les tribus parentes, Walpari, Wulmala, Worgaia, T</w:t>
      </w:r>
      <w:r>
        <w:t>jingilli (North. Tr., p. 161), et aussi chez les Urnbaia et les Gnanji (North. Tr., p. 170).</w:t>
      </w:r>
    </w:p>
  </w:footnote>
  <w:footnote w:id="578">
    <w:p w:rsidR="009A6BD2" w:rsidRDefault="003E2D0F">
      <w:pPr>
        <w:pStyle w:val="Testonotaapidipagina"/>
      </w:pPr>
      <w:r>
        <w:rPr>
          <w:rStyle w:val="Rimandonotaapidipagina"/>
        </w:rPr>
        <w:footnoteRef/>
      </w:r>
      <w:r>
        <w:t xml:space="preserve"> </w:t>
      </w:r>
      <w:r>
        <w:tab/>
        <w:t>STREHLOW, I, pp. 15-16. Pour les Loritja, v. STREHLOW, II, p. 7.</w:t>
      </w:r>
    </w:p>
  </w:footnote>
  <w:footnote w:id="579">
    <w:p w:rsidR="009A6BD2" w:rsidRDefault="003E2D0F">
      <w:pPr>
        <w:pStyle w:val="Testonotaapidipagina"/>
      </w:pPr>
      <w:r>
        <w:rPr>
          <w:rStyle w:val="Rimandonotaapidipagina"/>
        </w:rPr>
        <w:footnoteRef/>
      </w:r>
      <w:r>
        <w:t xml:space="preserve"> </w:t>
      </w:r>
      <w:r>
        <w:tab/>
        <w:t xml:space="preserve">STREHLOW va jusqu'à dire que les relations sexuelles ne sont même pas considérées comme une </w:t>
      </w:r>
      <w:r>
        <w:t>condition nécessaire, une sorte de préparation à la conception (II, p. 52, no 7). Il ajoute, il est vrai, quelques lignes plus bas, que les vieillards savent parfaitement quel rapport unit le commerce charnel et la génération et que, pour ce qui regarde le</w:t>
      </w:r>
      <w:r>
        <w:t>s animaux, les enfants eux-mêmes sont au courant. Ce qui ne laisse pas d'affaiblir un peu la portée de sa première affirmation.</w:t>
      </w:r>
    </w:p>
  </w:footnote>
  <w:footnote w:id="580">
    <w:p w:rsidR="009A6BD2" w:rsidRDefault="003E2D0F">
      <w:pPr>
        <w:pStyle w:val="Testonotaapidipagina"/>
      </w:pPr>
      <w:r>
        <w:rPr>
          <w:rStyle w:val="Rimandonotaapidipagina"/>
        </w:rPr>
        <w:footnoteRef/>
      </w:r>
      <w:r>
        <w:t xml:space="preserve"> </w:t>
      </w:r>
      <w:r>
        <w:tab/>
        <w:t>Nous employons, en général, la terminologie de Spencer et Gillen plutôt que celle de Strehlow, parce que la première est, dès</w:t>
      </w:r>
      <w:r>
        <w:t xml:space="preserve"> à présent, consacrée par un long usage.</w:t>
      </w:r>
    </w:p>
  </w:footnote>
  <w:footnote w:id="581">
    <w:p w:rsidR="009A6BD2" w:rsidRDefault="003E2D0F">
      <w:pPr>
        <w:pStyle w:val="Testonotaapidipagina"/>
      </w:pPr>
      <w:r>
        <w:rPr>
          <w:rStyle w:val="Rimandonotaapidipagina"/>
        </w:rPr>
        <w:footnoteRef/>
      </w:r>
      <w:r>
        <w:t xml:space="preserve"> </w:t>
      </w:r>
      <w:r>
        <w:tab/>
        <w:t>Nat. Tr., pp. 124, 513.</w:t>
      </w:r>
    </w:p>
  </w:footnote>
  <w:footnote w:id="582">
    <w:p w:rsidR="009A6BD2" w:rsidRDefault="003E2D0F">
      <w:pPr>
        <w:pStyle w:val="Testonotaapidipagina"/>
      </w:pPr>
      <w:r>
        <w:rPr>
          <w:rStyle w:val="Rimandonotaapidipagina"/>
        </w:rPr>
        <w:footnoteRef/>
      </w:r>
      <w:r>
        <w:t xml:space="preserve"> </w:t>
      </w:r>
      <w:r>
        <w:tab/>
        <w:t>I, p. 5. Ngarra, suivant STREHLOW, signifie éternel. Chez les Loritja, il n'y a que des rochers qui jouent ce rôle.</w:t>
      </w:r>
    </w:p>
  </w:footnote>
  <w:footnote w:id="583">
    <w:p w:rsidR="009A6BD2" w:rsidRDefault="003E2D0F">
      <w:pPr>
        <w:pStyle w:val="Testonotaapidipagina"/>
      </w:pPr>
      <w:r>
        <w:rPr>
          <w:rStyle w:val="Rimandonotaapidipagina"/>
        </w:rPr>
        <w:footnoteRef/>
      </w:r>
      <w:r>
        <w:t xml:space="preserve"> </w:t>
      </w:r>
      <w:r>
        <w:tab/>
        <w:t>Strehlow traduit par Kinderkeime (germes d'enfants). Il s'en faut,</w:t>
      </w:r>
      <w:r>
        <w:t xml:space="preserve"> d'ailleurs, que SPENCER et GILLEN aient ignoré le mythe des ratapa et les coutumes qui s'y rattachent. Ils nous en parlent explicitement dans Nat. Tr., p. 366 et suiv. et p. 552. Ils signalent, sur différents points du territoire arunta, l'existence de ro</w:t>
      </w:r>
      <w:r>
        <w:t>chers appelés Erathipa, d'où se dégagent des spirit children, des âmes d'enfants, qui s'introduisent dans le corps des femmes et les fécondent. Suivant SPENCER et GILLEN, EraIhipa signifierait enfant, quoique, ajoutent-ils, ce mot ne soit que rarement empl</w:t>
      </w:r>
      <w:r>
        <w:t>oyé avec ce sens dans la conversation courante (ibid., p. 338).</w:t>
      </w:r>
    </w:p>
  </w:footnote>
  <w:footnote w:id="584">
    <w:p w:rsidR="009A6BD2" w:rsidRDefault="003E2D0F">
      <w:pPr>
        <w:pStyle w:val="Testonotaapidipagina"/>
      </w:pPr>
      <w:r>
        <w:rPr>
          <w:rStyle w:val="Rimandonotaapidipagina"/>
        </w:rPr>
        <w:footnoteRef/>
      </w:r>
      <w:r>
        <w:t xml:space="preserve"> </w:t>
      </w:r>
      <w:r>
        <w:tab/>
        <w:t xml:space="preserve">Les Arunta sont répartis tantôt en quatre, tantôt en huit classes matrimoniales. La classe d'un enfant est déterminée par celle de son père ; inversement, de la première on peut déduire la </w:t>
      </w:r>
      <w:r>
        <w:t>seconde. (V. SPENCER et GILLEN, Nat. Tr., p.70 et suiv.; STREHLOW, l, p. 6 et suiv.). Reste à savoir comment le ratapa a une classe déterminée ; nous revenons plus loin sur ce point.</w:t>
      </w:r>
    </w:p>
  </w:footnote>
  <w:footnote w:id="585">
    <w:p w:rsidR="009A6BD2" w:rsidRDefault="003E2D0F">
      <w:pPr>
        <w:pStyle w:val="Testonotaapidipagina"/>
      </w:pPr>
      <w:r>
        <w:rPr>
          <w:rStyle w:val="Rimandonotaapidipagina"/>
        </w:rPr>
        <w:footnoteRef/>
      </w:r>
      <w:r>
        <w:t xml:space="preserve"> </w:t>
      </w:r>
      <w:r>
        <w:tab/>
        <w:t>Strehlow, II, p. 52. Il arrive parfois, mais rarement, que des contest</w:t>
      </w:r>
      <w:r>
        <w:t>ations s'élèvent sur la nature du totem de l'enfant, Strehlow en cite un cas (p. 53).</w:t>
      </w:r>
    </w:p>
  </w:footnote>
  <w:footnote w:id="586">
    <w:p w:rsidR="009A6BD2" w:rsidRDefault="003E2D0F">
      <w:pPr>
        <w:pStyle w:val="Testonotaapidipagina"/>
      </w:pPr>
      <w:r>
        <w:rPr>
          <w:rStyle w:val="Rimandonotaapidipagina"/>
        </w:rPr>
        <w:footnoteRef/>
      </w:r>
      <w:r>
        <w:t xml:space="preserve"> </w:t>
      </w:r>
      <w:r>
        <w:tab/>
        <w:t>C'est le même mot que namatwinna qu'on trouve chez SPENCER et GILLEN (Nat. Tr., p. 541).</w:t>
      </w:r>
    </w:p>
  </w:footnote>
  <w:footnote w:id="587">
    <w:p w:rsidR="009A6BD2" w:rsidRDefault="003E2D0F">
      <w:pPr>
        <w:pStyle w:val="Testonotaapidipagina"/>
      </w:pPr>
      <w:r>
        <w:rPr>
          <w:rStyle w:val="Rimandonotaapidipagina"/>
        </w:rPr>
        <w:footnoteRef/>
      </w:r>
      <w:r>
        <w:t xml:space="preserve"> </w:t>
      </w:r>
      <w:r>
        <w:tab/>
        <w:t>STREHLOW, II, p. 53.</w:t>
      </w:r>
    </w:p>
  </w:footnote>
  <w:footnote w:id="588">
    <w:p w:rsidR="009A6BD2" w:rsidRDefault="003E2D0F">
      <w:pPr>
        <w:pStyle w:val="Testonotaapidipagina"/>
      </w:pPr>
      <w:r>
        <w:rPr>
          <w:rStyle w:val="Rimandonotaapidipagina"/>
        </w:rPr>
        <w:footnoteRef/>
      </w:r>
      <w:r>
        <w:t xml:space="preserve"> </w:t>
      </w:r>
      <w:r>
        <w:tab/>
        <w:t>Ibid., II, p. 56.</w:t>
      </w:r>
    </w:p>
  </w:footnote>
  <w:footnote w:id="589">
    <w:p w:rsidR="009A6BD2" w:rsidRDefault="003E2D0F">
      <w:pPr>
        <w:pStyle w:val="Testonotaapidipagina"/>
      </w:pPr>
      <w:r>
        <w:rPr>
          <w:rStyle w:val="Rimandonotaapidipagina"/>
        </w:rPr>
        <w:footnoteRef/>
      </w:r>
      <w:r>
        <w:t xml:space="preserve"> </w:t>
      </w:r>
      <w:r>
        <w:tab/>
        <w:t>MATHEWS attribue aux Tjingilli</w:t>
      </w:r>
      <w:r>
        <w:t xml:space="preserve"> (alias Chingalee) une théorie analogue de la conception (Proc. R. Gegor. Trans. and Soc. Queensland, XXII (1907), pp. 75-76).</w:t>
      </w:r>
    </w:p>
  </w:footnote>
  <w:footnote w:id="590">
    <w:p w:rsidR="009A6BD2" w:rsidRDefault="003E2D0F">
      <w:pPr>
        <w:pStyle w:val="Testonotaapidipagina"/>
      </w:pPr>
      <w:r>
        <w:rPr>
          <w:rStyle w:val="Rimandonotaapidipagina"/>
        </w:rPr>
        <w:footnoteRef/>
      </w:r>
      <w:r>
        <w:t xml:space="preserve"> </w:t>
      </w:r>
      <w:r>
        <w:tab/>
        <w:t>Il arrive parfois que l'ancêtre qui est censé avoir lancé le namatuna se montre à la femme sous les espèces d'un animal ou d'u</w:t>
      </w:r>
      <w:r>
        <w:t>n homme; c'est une preuve de plus de l'affinité de l'âme ancestrale pour une forme matérielle.</w:t>
      </w:r>
    </w:p>
  </w:footnote>
  <w:footnote w:id="591">
    <w:p w:rsidR="009A6BD2" w:rsidRDefault="003E2D0F">
      <w:pPr>
        <w:pStyle w:val="Testonotaapidipagina"/>
      </w:pPr>
      <w:r>
        <w:rPr>
          <w:rStyle w:val="Rimandonotaapidipagina"/>
        </w:rPr>
        <w:footnoteRef/>
      </w:r>
      <w:r>
        <w:t xml:space="preserve"> </w:t>
      </w:r>
      <w:r>
        <w:tab/>
        <w:t>SCHULZE, loc. cit., p. 237.</w:t>
      </w:r>
    </w:p>
  </w:footnote>
  <w:footnote w:id="592">
    <w:p w:rsidR="009A6BD2" w:rsidRDefault="003E2D0F">
      <w:pPr>
        <w:pStyle w:val="Testonotaapidipagina"/>
      </w:pPr>
      <w:r>
        <w:rPr>
          <w:rStyle w:val="Rimandonotaapidipagina"/>
        </w:rPr>
        <w:footnoteRef/>
      </w:r>
      <w:r>
        <w:t xml:space="preserve"> </w:t>
      </w:r>
      <w:r>
        <w:tab/>
        <w:t xml:space="preserve">C'est ce qui résulte de ce fait que le ratapa ne peut s'incarner que dans le corps d'une femme qui appartient à la même classe </w:t>
      </w:r>
      <w:r>
        <w:t xml:space="preserve">matrimoniale que la mère de l'ancêtre mythique. Aussi ne comprenons-nous pas comment STREHLOW a pu dire (I, p. 42. Anmerkung) que, sauf dans un cas, les mythes n'affectent pas les ancêtres de l'Alcheringa à des classes matrimoniales déterminées. Sa propre </w:t>
      </w:r>
      <w:r>
        <w:t>théorie de la conception suppose tout le contraire (cf. 11, p. 53 et suiv.).</w:t>
      </w:r>
    </w:p>
  </w:footnote>
  <w:footnote w:id="593">
    <w:p w:rsidR="009A6BD2" w:rsidRDefault="003E2D0F">
      <w:pPr>
        <w:pStyle w:val="Testonotaapidipagina"/>
      </w:pPr>
      <w:r>
        <w:rPr>
          <w:rStyle w:val="Rimandonotaapidipagina"/>
        </w:rPr>
        <w:footnoteRef/>
      </w:r>
      <w:r>
        <w:t xml:space="preserve"> </w:t>
      </w:r>
      <w:r>
        <w:tab/>
        <w:t>STREHLOW, Il, p. 58.</w:t>
      </w:r>
    </w:p>
  </w:footnote>
  <w:footnote w:id="594">
    <w:p w:rsidR="009A6BD2" w:rsidRDefault="003E2D0F">
      <w:pPr>
        <w:pStyle w:val="Testonotaapidipagina"/>
      </w:pPr>
      <w:r>
        <w:rPr>
          <w:rStyle w:val="Rimandonotaapidipagina"/>
        </w:rPr>
        <w:footnoteRef/>
      </w:r>
      <w:r>
        <w:t xml:space="preserve"> </w:t>
      </w:r>
      <w:r>
        <w:tab/>
        <w:t>La différence entre les deux versions s'atténue encore et se réduit presque à rien si l'on remarque que, quand SPENCER et GILLEN nous disent que l'âme a</w:t>
      </w:r>
      <w:r>
        <w:t>ncestrale s'incarne dans le corps de la femme, les expressions dont ils se servent ne doivent pas être prises à la lettre. Ce n'est pas l'âme tout entière qui vient féconder la mère, mais seulement une émanation de cette âme. En effet, de leur aveu, une âm</w:t>
      </w:r>
      <w:r>
        <w:t>e, égale en pouvoirs et même plutôt supérieure à celle qui s'est incarnée, continue à résider dans l'arbre ou le rocher nanja (V. Nat. Tr., p. 514) ; nous aurons l'occasion de revenir sur ce point (et. plus bas, p. 393).</w:t>
      </w:r>
    </w:p>
  </w:footnote>
  <w:footnote w:id="595">
    <w:p w:rsidR="009A6BD2" w:rsidRDefault="003E2D0F">
      <w:pPr>
        <w:pStyle w:val="Testonotaapidipagina"/>
      </w:pPr>
      <w:r>
        <w:rPr>
          <w:rStyle w:val="Rimandonotaapidipagina"/>
        </w:rPr>
        <w:footnoteRef/>
      </w:r>
      <w:r>
        <w:t xml:space="preserve"> </w:t>
      </w:r>
      <w:r>
        <w:tab/>
        <w:t>II, p. 76, 81. Suivant SPENCER e</w:t>
      </w:r>
      <w:r>
        <w:t>t GILLEN, le churinga serait non le corps de l'ancêtre, mais l'objet dans lequel réside l'âme de ce dernier. Ces deux interprétations mythiques sont, au fond, identiques et on voit aisément comment on a pu passer de l'une à l'autre ; le corps est le lieu o</w:t>
      </w:r>
      <w:r>
        <w:t>ù réside l'âme.</w:t>
      </w:r>
    </w:p>
  </w:footnote>
  <w:footnote w:id="596">
    <w:p w:rsidR="009A6BD2" w:rsidRDefault="003E2D0F">
      <w:pPr>
        <w:pStyle w:val="Testonotaapidipagina"/>
      </w:pPr>
      <w:r>
        <w:rPr>
          <w:rStyle w:val="Rimandonotaapidipagina"/>
        </w:rPr>
        <w:footnoteRef/>
      </w:r>
      <w:r>
        <w:t xml:space="preserve"> </w:t>
      </w:r>
      <w:r>
        <w:tab/>
        <w:t>STREHLOW, I, p. 4.</w:t>
      </w:r>
    </w:p>
  </w:footnote>
  <w:footnote w:id="597">
    <w:p w:rsidR="009A6BD2" w:rsidRDefault="003E2D0F">
      <w:pPr>
        <w:pStyle w:val="Testonotaapidipagina"/>
      </w:pPr>
      <w:r>
        <w:rPr>
          <w:rStyle w:val="Rimandonotaapidipagina"/>
        </w:rPr>
        <w:footnoteRef/>
      </w:r>
      <w:r>
        <w:t xml:space="preserve"> </w:t>
      </w:r>
      <w:r>
        <w:tab/>
        <w:t>STREHLOW, I, pp. 53-54. Dans ces récits, l'ancêtre commence par s'introduire lui-même dans le sein de la femme et il y produit les troubles caractéristiques de la grossesse. Puis il en sort et ne laisse qu'ensuite l</w:t>
      </w:r>
      <w:r>
        <w:t>e namatuna.</w:t>
      </w:r>
    </w:p>
  </w:footnote>
  <w:footnote w:id="598">
    <w:p w:rsidR="009A6BD2" w:rsidRDefault="003E2D0F">
      <w:pPr>
        <w:pStyle w:val="Testonotaapidipagina"/>
      </w:pPr>
      <w:r>
        <w:rPr>
          <w:rStyle w:val="Rimandonotaapidipagina"/>
        </w:rPr>
        <w:footnoteRef/>
      </w:r>
      <w:r>
        <w:t xml:space="preserve"> </w:t>
      </w:r>
      <w:r>
        <w:tab/>
        <w:t>Strehlow, II, pp. 76.</w:t>
      </w:r>
    </w:p>
  </w:footnote>
  <w:footnote w:id="599">
    <w:p w:rsidR="009A6BD2" w:rsidRDefault="003E2D0F">
      <w:pPr>
        <w:pStyle w:val="Testonotaapidipagina"/>
      </w:pPr>
      <w:r>
        <w:rPr>
          <w:rStyle w:val="Rimandonotaapidipagina"/>
        </w:rPr>
        <w:footnoteRef/>
      </w:r>
      <w:r>
        <w:t xml:space="preserve"> </w:t>
      </w:r>
      <w:r>
        <w:tab/>
        <w:t>Ibid., p. 81. Voici la traduction mot à mot des termes employés telle que nous la donne Strehlow : Dies du Körper bist; dies du der nämliche. Dans un mythe, un héros civilisateur, Mangarkunjerkunja, présentant à chaq</w:t>
      </w:r>
      <w:r>
        <w:t>ue homme le churinga de son ancêtre, lui dit : « Tu es né de ce churinga » (ibid., p. 76).</w:t>
      </w:r>
    </w:p>
  </w:footnote>
  <w:footnote w:id="600">
    <w:p w:rsidR="009A6BD2" w:rsidRDefault="003E2D0F">
      <w:pPr>
        <w:pStyle w:val="Testonotaapidipagina"/>
      </w:pPr>
      <w:r>
        <w:rPr>
          <w:rStyle w:val="Rimandonotaapidipagina"/>
        </w:rPr>
        <w:footnoteRef/>
      </w:r>
      <w:r>
        <w:t xml:space="preserve"> </w:t>
      </w:r>
      <w:r>
        <w:tab/>
        <w:t>STREHLOW, II, p. 76.</w:t>
      </w:r>
    </w:p>
  </w:footnote>
  <w:footnote w:id="601">
    <w:p w:rsidR="009A6BD2" w:rsidRDefault="003E2D0F">
      <w:pPr>
        <w:pStyle w:val="Testonotaapidipagina"/>
      </w:pPr>
      <w:r>
        <w:rPr>
          <w:rStyle w:val="Rimandonotaapidipagina"/>
        </w:rPr>
        <w:footnoteRef/>
      </w:r>
      <w:r>
        <w:t xml:space="preserve"> </w:t>
      </w:r>
      <w:r>
        <w:tab/>
        <w:t>STREHLOW, Ibid.</w:t>
      </w:r>
    </w:p>
  </w:footnote>
  <w:footnote w:id="602">
    <w:p w:rsidR="009A6BD2" w:rsidRDefault="003E2D0F">
      <w:pPr>
        <w:pStyle w:val="Testonotaapidipagina"/>
      </w:pPr>
      <w:r>
        <w:rPr>
          <w:rStyle w:val="Rimandonotaapidipagina"/>
        </w:rPr>
        <w:footnoteRef/>
      </w:r>
      <w:r>
        <w:t xml:space="preserve"> </w:t>
      </w:r>
      <w:r>
        <w:tab/>
        <w:t>Au fond, la seule divergence réelle qu'il y ait entre Strehlow, d'une part, Spencer et Gillen, de l'autre, est la suiva</w:t>
      </w:r>
      <w:r>
        <w:t xml:space="preserve">nte. Pour ces derniers, l'âme de l'individu, après la mort, revient à l'arbre nanja où elle se confond à nouveau avec l'âme de l'ancêtre (Nat. Tr., p. 513); pour Strehlow, elle s'en va à l'île des morts où elle finit par être anéantie. Dans un mythe comme </w:t>
      </w:r>
      <w:r>
        <w:t>dans l'autre, elle ne survit pas individuellement. Quant à la cause de cette divergence, nous renonçons à la déterminer. Il est possible qu'il y ait eu une erreur d'observation commise par Spencer et Gillen qui ne nous parlent pas de l'île des morts. Il es</w:t>
      </w:r>
      <w:r>
        <w:t>t possible aussi que le mythe ne soit pas le même chez les Arunta de l'est que Spencer et Gillen ont surtout observés, et dans d'autres parties de la tribu.</w:t>
      </w:r>
    </w:p>
  </w:footnote>
  <w:footnote w:id="603">
    <w:p w:rsidR="009A6BD2" w:rsidRDefault="003E2D0F">
      <w:pPr>
        <w:pStyle w:val="Testonotaapidipagina"/>
      </w:pPr>
      <w:r>
        <w:rPr>
          <w:rStyle w:val="Rimandonotaapidipagina"/>
        </w:rPr>
        <w:footnoteRef/>
      </w:r>
      <w:r>
        <w:t xml:space="preserve"> </w:t>
      </w:r>
      <w:r>
        <w:tab/>
        <w:t>STREHLOW, II, p. 51.</w:t>
      </w:r>
    </w:p>
  </w:footnote>
  <w:footnote w:id="604">
    <w:p w:rsidR="009A6BD2" w:rsidRDefault="003E2D0F">
      <w:pPr>
        <w:pStyle w:val="Testonotaapidipagina"/>
      </w:pPr>
      <w:r>
        <w:rPr>
          <w:rStyle w:val="Rimandonotaapidipagina"/>
        </w:rPr>
        <w:footnoteRef/>
      </w:r>
      <w:r>
        <w:t xml:space="preserve"> </w:t>
      </w:r>
      <w:r>
        <w:tab/>
        <w:t>Ibid., Il, p. 56.</w:t>
      </w:r>
    </w:p>
  </w:footnote>
  <w:footnote w:id="605">
    <w:p w:rsidR="009A6BD2" w:rsidRDefault="003E2D0F">
      <w:pPr>
        <w:pStyle w:val="Testonotaapidipagina"/>
      </w:pPr>
      <w:r>
        <w:rPr>
          <w:rStyle w:val="Rimandonotaapidipagina"/>
        </w:rPr>
        <w:footnoteRef/>
      </w:r>
      <w:r>
        <w:t xml:space="preserve"> </w:t>
      </w:r>
      <w:r>
        <w:tab/>
        <w:t>Ibid., I, pp. 3-4.</w:t>
      </w:r>
    </w:p>
  </w:footnote>
  <w:footnote w:id="606">
    <w:p w:rsidR="009A6BD2" w:rsidRDefault="003E2D0F">
      <w:pPr>
        <w:pStyle w:val="Testonotaapidipagina"/>
      </w:pPr>
      <w:r>
        <w:rPr>
          <w:rStyle w:val="Rimandonotaapidipagina"/>
        </w:rPr>
        <w:footnoteRef/>
      </w:r>
      <w:r>
        <w:t xml:space="preserve"> </w:t>
      </w:r>
      <w:r>
        <w:tab/>
        <w:t>Ibid., Il, p. 61.</w:t>
      </w:r>
    </w:p>
  </w:footnote>
  <w:footnote w:id="607">
    <w:p w:rsidR="009A6BD2" w:rsidRDefault="003E2D0F">
      <w:pPr>
        <w:pStyle w:val="Testonotaapidipagina"/>
      </w:pPr>
      <w:r>
        <w:rPr>
          <w:rStyle w:val="Rimandonotaapidipagina"/>
        </w:rPr>
        <w:footnoteRef/>
      </w:r>
      <w:r>
        <w:t xml:space="preserve"> </w:t>
      </w:r>
      <w:r>
        <w:tab/>
        <w:t xml:space="preserve">V. plus </w:t>
      </w:r>
      <w:r>
        <w:t>haut, p. 261.</w:t>
      </w:r>
    </w:p>
  </w:footnote>
  <w:footnote w:id="608">
    <w:p w:rsidR="009A6BD2" w:rsidRDefault="003E2D0F">
      <w:pPr>
        <w:pStyle w:val="Testonotaapidipagina"/>
      </w:pPr>
      <w:r>
        <w:rPr>
          <w:rStyle w:val="Rimandonotaapidipagina"/>
        </w:rPr>
        <w:footnoteRef/>
      </w:r>
      <w:r>
        <w:t xml:space="preserve"> </w:t>
      </w:r>
      <w:r>
        <w:tab/>
        <w:t>STREHLOW, II, p. 57 et I, p. 2.</w:t>
      </w:r>
    </w:p>
  </w:footnote>
  <w:footnote w:id="609">
    <w:p w:rsidR="009A6BD2" w:rsidRDefault="003E2D0F">
      <w:pPr>
        <w:pStyle w:val="Testonotaapidipagina"/>
      </w:pPr>
      <w:r>
        <w:rPr>
          <w:rStyle w:val="Rimandonotaapidipagina"/>
        </w:rPr>
        <w:footnoteRef/>
      </w:r>
      <w:r>
        <w:t xml:space="preserve"> </w:t>
      </w:r>
      <w:r>
        <w:tab/>
        <w:t>STREHLOW, II, p. 57.</w:t>
      </w:r>
    </w:p>
  </w:footnote>
  <w:footnote w:id="610">
    <w:p w:rsidR="009A6BD2" w:rsidRDefault="003E2D0F">
      <w:pPr>
        <w:pStyle w:val="Testonotaapidipagina"/>
      </w:pPr>
      <w:r>
        <w:rPr>
          <w:rStyle w:val="Rimandonotaapidipagina"/>
        </w:rPr>
        <w:footnoteRef/>
      </w:r>
      <w:r>
        <w:t xml:space="preserve"> </w:t>
      </w:r>
      <w:r>
        <w:tab/>
        <w:t>ROTH, Superstition, Magie, etc., § 74.</w:t>
      </w:r>
    </w:p>
  </w:footnote>
  <w:footnote w:id="611">
    <w:p w:rsidR="009A6BD2" w:rsidRDefault="003E2D0F">
      <w:pPr>
        <w:pStyle w:val="Testonotaapidipagina"/>
      </w:pPr>
      <w:r>
        <w:rPr>
          <w:rStyle w:val="Rimandonotaapidipagina"/>
        </w:rPr>
        <w:footnoteRef/>
      </w:r>
      <w:r>
        <w:t xml:space="preserve"> </w:t>
      </w:r>
      <w:r>
        <w:tab/>
        <w:t>En d'autres termes, l'espèce totémique est beaucoup plus constituée par le groupe des ancêtres, par l'espèce mythique, que par l'espèce an</w:t>
      </w:r>
      <w:r>
        <w:t>imale ou végétale proprement dite.</w:t>
      </w:r>
    </w:p>
  </w:footnote>
  <w:footnote w:id="612">
    <w:p w:rsidR="009A6BD2" w:rsidRDefault="003E2D0F">
      <w:pPr>
        <w:pStyle w:val="Testonotaapidipagina"/>
      </w:pPr>
      <w:r>
        <w:rPr>
          <w:rStyle w:val="Rimandonotaapidipagina"/>
        </w:rPr>
        <w:footnoteRef/>
      </w:r>
      <w:r>
        <w:t xml:space="preserve"> </w:t>
      </w:r>
      <w:r>
        <w:tab/>
        <w:t>V. plus haut, p. 363.</w:t>
      </w:r>
    </w:p>
  </w:footnote>
  <w:footnote w:id="613">
    <w:p w:rsidR="009A6BD2" w:rsidRDefault="003E2D0F">
      <w:pPr>
        <w:pStyle w:val="Testonotaapidipagina"/>
      </w:pPr>
      <w:r>
        <w:rPr>
          <w:rStyle w:val="Rimandonotaapidipagina"/>
        </w:rPr>
        <w:footnoteRef/>
      </w:r>
      <w:r>
        <w:t xml:space="preserve"> </w:t>
      </w:r>
      <w:r>
        <w:tab/>
        <w:t>STREHLOW, II, p. 76.</w:t>
      </w:r>
    </w:p>
  </w:footnote>
  <w:footnote w:id="614">
    <w:p w:rsidR="009A6BD2" w:rsidRDefault="003E2D0F">
      <w:pPr>
        <w:pStyle w:val="Testonotaapidipagina"/>
      </w:pPr>
      <w:r>
        <w:rPr>
          <w:rStyle w:val="Rimandonotaapidipagina"/>
        </w:rPr>
        <w:footnoteRef/>
      </w:r>
      <w:r>
        <w:t xml:space="preserve"> </w:t>
      </w:r>
      <w:r>
        <w:tab/>
        <w:t>STREHLOW, Ibid.</w:t>
      </w:r>
    </w:p>
  </w:footnote>
  <w:footnote w:id="615">
    <w:p w:rsidR="009A6BD2" w:rsidRDefault="003E2D0F">
      <w:pPr>
        <w:pStyle w:val="Testonotaapidipagina"/>
      </w:pPr>
      <w:r>
        <w:rPr>
          <w:rStyle w:val="Rimandonotaapidipagina"/>
        </w:rPr>
        <w:footnoteRef/>
      </w:r>
      <w:r>
        <w:t xml:space="preserve"> </w:t>
      </w:r>
      <w:r>
        <w:tab/>
        <w:t>STREHLOW, II, pp. 57, 60, 61. La liste des totems est appelée par Strehlow la liste des ratapa.</w:t>
      </w:r>
    </w:p>
  </w:footnote>
  <w:footnote w:id="616">
    <w:p w:rsidR="009A6BD2" w:rsidRDefault="003E2D0F">
      <w:pPr>
        <w:pStyle w:val="Testonotaapidipagina"/>
      </w:pPr>
      <w:r>
        <w:rPr>
          <w:rStyle w:val="Rimandonotaapidipagina"/>
        </w:rPr>
        <w:footnoteRef/>
      </w:r>
      <w:r>
        <w:t xml:space="preserve"> </w:t>
      </w:r>
      <w:r>
        <w:tab/>
        <w:t>HOWITT, Nat. Tr., p. 475 et suiv.</w:t>
      </w:r>
    </w:p>
  </w:footnote>
  <w:footnote w:id="617">
    <w:p w:rsidR="009A6BD2" w:rsidRDefault="003E2D0F">
      <w:pPr>
        <w:pStyle w:val="Testonotaapidipagina"/>
      </w:pPr>
      <w:r>
        <w:rPr>
          <w:rStyle w:val="Rimandonotaapidipagina"/>
        </w:rPr>
        <w:footnoteRef/>
      </w:r>
      <w:r>
        <w:t xml:space="preserve"> </w:t>
      </w:r>
      <w:r>
        <w:tab/>
        <w:t>The Manners an</w:t>
      </w:r>
      <w:r>
        <w:t>d Customs of the Dieyerie Tribe of Australian Aborigines, in Curr, II, p. 47.</w:t>
      </w:r>
    </w:p>
  </w:footnote>
  <w:footnote w:id="618">
    <w:p w:rsidR="009A6BD2" w:rsidRDefault="003E2D0F">
      <w:pPr>
        <w:pStyle w:val="Testonotaapidipagina"/>
      </w:pPr>
      <w:r>
        <w:rPr>
          <w:rStyle w:val="Rimandonotaapidipagina"/>
        </w:rPr>
        <w:footnoteRef/>
      </w:r>
      <w:r>
        <w:t xml:space="preserve"> </w:t>
      </w:r>
      <w:r>
        <w:tab/>
        <w:t>HOWITT, Nat. Tr., p. 482.</w:t>
      </w:r>
    </w:p>
  </w:footnote>
  <w:footnote w:id="619">
    <w:p w:rsidR="009A6BD2" w:rsidRDefault="003E2D0F">
      <w:pPr>
        <w:pStyle w:val="Testonotaapidipagina"/>
      </w:pPr>
      <w:r>
        <w:rPr>
          <w:rStyle w:val="Rimandonotaapidipagina"/>
        </w:rPr>
        <w:footnoteRef/>
      </w:r>
      <w:r>
        <w:t xml:space="preserve"> </w:t>
      </w:r>
      <w:r>
        <w:tab/>
        <w:t>Ibid., p. 487.</w:t>
      </w:r>
    </w:p>
  </w:footnote>
  <w:footnote w:id="620">
    <w:p w:rsidR="009A6BD2" w:rsidRDefault="003E2D0F">
      <w:pPr>
        <w:pStyle w:val="Testonotaapidipagina"/>
      </w:pPr>
      <w:r>
        <w:rPr>
          <w:rStyle w:val="Rimandonotaapidipagina"/>
        </w:rPr>
        <w:footnoteRef/>
      </w:r>
      <w:r>
        <w:t xml:space="preserve"> </w:t>
      </w:r>
      <w:r>
        <w:tab/>
        <w:t>TAPLIN, Folklore, Customs, Manners, etc., of South Austral. Aborig., p. 88.</w:t>
      </w:r>
    </w:p>
  </w:footnote>
  <w:footnote w:id="621">
    <w:p w:rsidR="009A6BD2" w:rsidRDefault="003E2D0F">
      <w:pPr>
        <w:pStyle w:val="Testonotaapidipagina"/>
      </w:pPr>
      <w:r>
        <w:rPr>
          <w:rStyle w:val="Rimandonotaapidipagina"/>
        </w:rPr>
        <w:footnoteRef/>
      </w:r>
      <w:r>
        <w:t xml:space="preserve"> </w:t>
      </w:r>
      <w:r>
        <w:tab/>
        <w:t>Chaque clan d'ancêtre a, sous terre, son camp spé</w:t>
      </w:r>
      <w:r>
        <w:t>cial; le miyur est ce camp.</w:t>
      </w:r>
    </w:p>
  </w:footnote>
  <w:footnote w:id="622">
    <w:p w:rsidR="009A6BD2" w:rsidRDefault="003E2D0F">
      <w:pPr>
        <w:pStyle w:val="Testonotaapidipagina"/>
      </w:pPr>
      <w:r>
        <w:rPr>
          <w:rStyle w:val="Rimandonotaapidipagina"/>
        </w:rPr>
        <w:footnoteRef/>
      </w:r>
      <w:r>
        <w:t xml:space="preserve"> </w:t>
      </w:r>
      <w:r>
        <w:tab/>
        <w:t>MATHEWS, in Journal of R. S. of N. S. Wales, XXXVIII, p. 293. MATHEWS signale la même croyance dans d'autres tribus de Victoria (ibid., p. 197).</w:t>
      </w:r>
    </w:p>
  </w:footnote>
  <w:footnote w:id="623">
    <w:p w:rsidR="009A6BD2" w:rsidRDefault="003E2D0F">
      <w:pPr>
        <w:pStyle w:val="Testonotaapidipagina"/>
      </w:pPr>
      <w:r>
        <w:rPr>
          <w:rStyle w:val="Rimandonotaapidipagina"/>
        </w:rPr>
        <w:footnoteRef/>
      </w:r>
      <w:r>
        <w:t xml:space="preserve"> </w:t>
      </w:r>
      <w:r>
        <w:tab/>
        <w:t>MATHEWS, ibid., p. 349.</w:t>
      </w:r>
    </w:p>
  </w:footnote>
  <w:footnote w:id="624">
    <w:p w:rsidR="009A6BD2" w:rsidRDefault="003E2D0F">
      <w:pPr>
        <w:pStyle w:val="Testonotaapidipagina"/>
      </w:pPr>
      <w:r>
        <w:rPr>
          <w:rStyle w:val="Rimandonotaapidipagina"/>
        </w:rPr>
        <w:footnoteRef/>
      </w:r>
      <w:r>
        <w:t xml:space="preserve"> </w:t>
      </w:r>
      <w:r>
        <w:tab/>
        <w:t>J. Bishof, Die Niel-Niol, in Anthropos, III, p. 35</w:t>
      </w:r>
      <w:r>
        <w:t>.</w:t>
      </w:r>
    </w:p>
  </w:footnote>
  <w:footnote w:id="625">
    <w:p w:rsidR="009A6BD2" w:rsidRDefault="003E2D0F">
      <w:pPr>
        <w:pStyle w:val="Testonotaapidipagina"/>
      </w:pPr>
      <w:r>
        <w:rPr>
          <w:rStyle w:val="Rimandonotaapidipagina"/>
        </w:rPr>
        <w:footnoteRef/>
      </w:r>
      <w:r>
        <w:t xml:space="preserve"> </w:t>
      </w:r>
      <w:r>
        <w:tab/>
        <w:t>ROTH, Superstition, etc., § 68; cf. 69 a, le cas semblable des indigènes de la Rivière Proserpine. Pour simplifier l'exposé, nous avons laissé de côté la complication qui tient à la différence des sexes. L'âme des filles est faite avec le choi de leur</w:t>
      </w:r>
      <w:r>
        <w:t xml:space="preserve"> mère, tandis qu'elles partagent avec leurs frères le ngai de leur père. Cette particularité, qui vient peut-être de ce que les deux systèmes de filiation ont été successivement en usage, n'atteint, pas d'ailleurs, le principe de la perpétuité de l'âme.</w:t>
      </w:r>
    </w:p>
  </w:footnote>
  <w:footnote w:id="626">
    <w:p w:rsidR="009A6BD2" w:rsidRDefault="003E2D0F">
      <w:pPr>
        <w:pStyle w:val="Testonotaapidipagina"/>
      </w:pPr>
      <w:r>
        <w:rPr>
          <w:rStyle w:val="Rimandonotaapidipagina"/>
        </w:rPr>
        <w:footnoteRef/>
      </w:r>
      <w:r>
        <w:t xml:space="preserve"> </w:t>
      </w:r>
      <w:r>
        <w:tab/>
        <w:t>Ibid., p. 16.</w:t>
      </w:r>
    </w:p>
  </w:footnote>
  <w:footnote w:id="627">
    <w:p w:rsidR="009A6BD2" w:rsidRDefault="003E2D0F">
      <w:pPr>
        <w:pStyle w:val="Testonotaapidipagina"/>
      </w:pPr>
      <w:r>
        <w:rPr>
          <w:rStyle w:val="Rimandonotaapidipagina"/>
        </w:rPr>
        <w:footnoteRef/>
      </w:r>
      <w:r>
        <w:t xml:space="preserve"> </w:t>
      </w:r>
      <w:r>
        <w:tab/>
        <w:t>Die Tlinkit-Indianer, p. 282.</w:t>
      </w:r>
    </w:p>
  </w:footnote>
  <w:footnote w:id="628">
    <w:p w:rsidR="009A6BD2" w:rsidRDefault="003E2D0F">
      <w:pPr>
        <w:pStyle w:val="Testonotaapidipagina"/>
      </w:pPr>
      <w:r>
        <w:rPr>
          <w:rStyle w:val="Rimandonotaapidipagina"/>
        </w:rPr>
        <w:footnoteRef/>
      </w:r>
      <w:r>
        <w:t xml:space="preserve"> </w:t>
      </w:r>
      <w:r>
        <w:tab/>
        <w:t>SWANTON, Contributions to the Ethnology of the Haida, p. 117 et suiv.</w:t>
      </w:r>
    </w:p>
  </w:footnote>
  <w:footnote w:id="629">
    <w:p w:rsidR="009A6BD2" w:rsidRDefault="003E2D0F">
      <w:pPr>
        <w:pStyle w:val="Testonotaapidipagina"/>
      </w:pPr>
      <w:r>
        <w:rPr>
          <w:rStyle w:val="Rimandonotaapidipagina"/>
        </w:rPr>
        <w:footnoteRef/>
      </w:r>
      <w:r>
        <w:t xml:space="preserve"> </w:t>
      </w:r>
      <w:r>
        <w:tab/>
        <w:t>Boas, Sixth Rep. of the Committee on the North-Western Tribes of Canada, p. 59.</w:t>
      </w:r>
    </w:p>
  </w:footnote>
  <w:footnote w:id="630">
    <w:p w:rsidR="009A6BD2" w:rsidRDefault="003E2D0F">
      <w:pPr>
        <w:pStyle w:val="Testonotaapidipagina"/>
      </w:pPr>
      <w:r>
        <w:rPr>
          <w:rStyle w:val="Rimandonotaapidipagina"/>
        </w:rPr>
        <w:footnoteRef/>
      </w:r>
      <w:r>
        <w:t xml:space="preserve"> </w:t>
      </w:r>
      <w:r>
        <w:tab/>
        <w:t>Lafitau, Moeurs des sauvages américains, Il, p. 4</w:t>
      </w:r>
      <w:r>
        <w:t>34; PETITOT, Monographie des Dénè-Dindjié, p. 59.</w:t>
      </w:r>
    </w:p>
  </w:footnote>
  <w:footnote w:id="631">
    <w:p w:rsidR="009A6BD2" w:rsidRDefault="003E2D0F">
      <w:pPr>
        <w:pStyle w:val="Testonotaapidipagina"/>
      </w:pPr>
      <w:r>
        <w:rPr>
          <w:rStyle w:val="Rimandonotaapidipagina"/>
        </w:rPr>
        <w:footnoteRef/>
      </w:r>
      <w:r>
        <w:t xml:space="preserve"> </w:t>
      </w:r>
      <w:r>
        <w:tab/>
        <w:t>V. plus haut, p. 190 et suiv.</w:t>
      </w:r>
    </w:p>
  </w:footnote>
  <w:footnote w:id="632">
    <w:p w:rsidR="009A6BD2" w:rsidRDefault="003E2D0F">
      <w:pPr>
        <w:pStyle w:val="Testonotaapidipagina"/>
      </w:pPr>
      <w:r>
        <w:rPr>
          <w:rStyle w:val="Rimandonotaapidipagina"/>
        </w:rPr>
        <w:footnoteRef/>
      </w:r>
      <w:r>
        <w:t xml:space="preserve"> </w:t>
      </w:r>
      <w:r>
        <w:tab/>
        <w:t>V. plus haut, p. 194.</w:t>
      </w:r>
    </w:p>
  </w:footnote>
  <w:footnote w:id="633">
    <w:p w:rsidR="009A6BD2" w:rsidRDefault="003E2D0F">
      <w:pPr>
        <w:pStyle w:val="Testonotaapidipagina"/>
      </w:pPr>
      <w:r>
        <w:rPr>
          <w:rStyle w:val="Rimandonotaapidipagina"/>
        </w:rPr>
        <w:footnoteRef/>
      </w:r>
      <w:r>
        <w:t xml:space="preserve"> </w:t>
      </w:r>
      <w:r>
        <w:tab/>
        <w:t>Howitt, Nat. Tr., p. 147. Cf. ibid., p. 769.</w:t>
      </w:r>
    </w:p>
  </w:footnote>
  <w:footnote w:id="634">
    <w:p w:rsidR="009A6BD2" w:rsidRDefault="003E2D0F">
      <w:pPr>
        <w:pStyle w:val="Testonotaapidipagina"/>
      </w:pPr>
      <w:r>
        <w:rPr>
          <w:rStyle w:val="Rimandonotaapidipagina"/>
        </w:rPr>
        <w:footnoteRef/>
      </w:r>
      <w:r>
        <w:t xml:space="preserve"> </w:t>
      </w:r>
      <w:r>
        <w:tab/>
        <w:t>STREHLOW (I, p. 15, no 2), Schulze (loc. cit., p. 246) nous représentent l'âme, comme Howitt nous</w:t>
      </w:r>
      <w:r>
        <w:t xml:space="preserve"> représente ici le totem, sortant du corps pour aller manger une autre âme. De même, on a vu plus haut l'altjira ou totem maternel se manifester en rêve ainsi qu'une âme ou un esprit.</w:t>
      </w:r>
    </w:p>
  </w:footnote>
  <w:footnote w:id="635">
    <w:p w:rsidR="009A6BD2" w:rsidRDefault="003E2D0F">
      <w:pPr>
        <w:pStyle w:val="Testonotaapidipagina"/>
      </w:pPr>
      <w:r>
        <w:rPr>
          <w:rStyle w:val="Rimandonotaapidipagina"/>
        </w:rPr>
        <w:footnoteRef/>
      </w:r>
      <w:r>
        <w:t xml:space="preserve"> </w:t>
      </w:r>
      <w:r>
        <w:tab/>
        <w:t>Fison et HOWITT, Hurnai and Kamilaroi, p. 280.</w:t>
      </w:r>
    </w:p>
  </w:footnote>
  <w:footnote w:id="636">
    <w:p w:rsidR="009A6BD2" w:rsidRDefault="003E2D0F">
      <w:pPr>
        <w:pStyle w:val="Testonotaapidipagina"/>
      </w:pPr>
      <w:r>
        <w:rPr>
          <w:rStyle w:val="Rimandonotaapidipagina"/>
        </w:rPr>
        <w:footnoteRef/>
      </w:r>
      <w:r>
        <w:t xml:space="preserve"> </w:t>
      </w:r>
      <w:r>
        <w:tab/>
        <w:t>Globus, tome CXI, p</w:t>
      </w:r>
      <w:r>
        <w:t>. 289. Malgré des objections de Leonhardi, Strehlow a maintenu ses affirmations sur ce point (v. STREHLOW, III, P. Xi). Leonhardi trouve qu'il y a quelque contradiction entre cette assertion et la théorie d'après laquelle les ratapa émanent d'arbres, de ro</w:t>
      </w:r>
      <w:r>
        <w:t>chers, de churinga. Mais l'animal totémique incarne le totem tout comme l'arbre ou le rocher nanja; il peut donc jouer le même rôle. Ces différentes choses sont mythologiquement équivalentes.</w:t>
      </w:r>
    </w:p>
  </w:footnote>
  <w:footnote w:id="637">
    <w:p w:rsidR="009A6BD2" w:rsidRDefault="003E2D0F">
      <w:pPr>
        <w:pStyle w:val="Testonotaapidipagina"/>
      </w:pPr>
      <w:r>
        <w:rPr>
          <w:rStyle w:val="Rimandonotaapidipagina"/>
        </w:rPr>
        <w:footnoteRef/>
      </w:r>
      <w:r>
        <w:t xml:space="preserve"> </w:t>
      </w:r>
      <w:r>
        <w:tab/>
        <w:t>Notes on the West Coastal Tribes of the Northern Territory of</w:t>
      </w:r>
      <w:r>
        <w:t xml:space="preserve"> S. Australia, in Trans. R. Soc. South Australia, XXXI (1907), p. 4. Cf. à propos des tribus du district de Cairns (Queensland septentrional), Man, 1909, no 86.</w:t>
      </w:r>
    </w:p>
  </w:footnote>
  <w:footnote w:id="638">
    <w:p w:rsidR="009A6BD2" w:rsidRDefault="003E2D0F">
      <w:pPr>
        <w:pStyle w:val="Testonotaapidipagina"/>
      </w:pPr>
      <w:r>
        <w:rPr>
          <w:rStyle w:val="Rimandonotaapidipagina"/>
        </w:rPr>
        <w:footnoteRef/>
      </w:r>
      <w:r>
        <w:t xml:space="preserve"> </w:t>
      </w:r>
      <w:r>
        <w:tab/>
        <w:t>Chez les Wakelvura où, selon Curr et Howitt, chaque classe matrimoniale a ses totems propres</w:t>
      </w:r>
      <w:r>
        <w:t>, l'animal dit la classe (v. CURR, III, p. 28) ; chez les Buandik, il révèle le clan (Mrs. James S. SMITH, The Booandik Tribes of S. Austral. Aborigines, p. 128). Cf. HOWITT, On Some Austral. Beliefs, in J.A.I., XIII, p. 191 ; XIV, p. 362; THOMAS, An Ameri</w:t>
      </w:r>
      <w:r>
        <w:t>can View of Totemism, in Man, 1902, no 85 ; MATHEWS, Journal Of R. S. Of N. S. Wales, XXXVIII, pp. 347-348; BROUGH SMYTH, I, p. 110; SPENCER et GILLEN, North. Tr., p. 513.</w:t>
      </w:r>
    </w:p>
  </w:footnote>
  <w:footnote w:id="639">
    <w:p w:rsidR="009A6BD2" w:rsidRDefault="003E2D0F">
      <w:pPr>
        <w:pStyle w:val="Testonotaapidipagina"/>
      </w:pPr>
      <w:r>
        <w:rPr>
          <w:rStyle w:val="Rimandonotaapidipagina"/>
        </w:rPr>
        <w:footnoteRef/>
      </w:r>
      <w:r>
        <w:t xml:space="preserve"> </w:t>
      </w:r>
      <w:r>
        <w:tab/>
        <w:t>ROTH, Superstition, etc., § 83. C'est probablement une forme de totémisme sexuel.</w:t>
      </w:r>
    </w:p>
  </w:footnote>
  <w:footnote w:id="640">
    <w:p w:rsidR="009A6BD2" w:rsidRDefault="003E2D0F">
      <w:pPr>
        <w:pStyle w:val="Testonotaapidipagina"/>
      </w:pPr>
      <w:r>
        <w:rPr>
          <w:rStyle w:val="Rimandonotaapidipagina"/>
        </w:rPr>
        <w:footnoteRef/>
      </w:r>
      <w:r>
        <w:t xml:space="preserve"> </w:t>
      </w:r>
      <w:r>
        <w:tab/>
        <w:t>Prinz ZU WIED, Reise in das innere Nord-Amerika, II, p. 190.</w:t>
      </w:r>
    </w:p>
  </w:footnote>
  <w:footnote w:id="641">
    <w:p w:rsidR="009A6BD2" w:rsidRDefault="003E2D0F">
      <w:pPr>
        <w:pStyle w:val="Testonotaapidipagina"/>
      </w:pPr>
      <w:r>
        <w:rPr>
          <w:rStyle w:val="Rimandonotaapidipagina"/>
        </w:rPr>
        <w:footnoteRef/>
      </w:r>
      <w:r>
        <w:t xml:space="preserve"> </w:t>
      </w:r>
      <w:r>
        <w:tab/>
        <w:t>K. von den STEINEN, Unter den Nalurvölkern Zentral-Bräsiliens, 1894, pp. 511, 512.</w:t>
      </w:r>
    </w:p>
  </w:footnote>
  <w:footnote w:id="642">
    <w:p w:rsidR="009A6BD2" w:rsidRDefault="003E2D0F">
      <w:pPr>
        <w:pStyle w:val="Testonotaapidipagina"/>
      </w:pPr>
      <w:r>
        <w:rPr>
          <w:rStyle w:val="Rimandonotaapidipagina"/>
        </w:rPr>
        <w:footnoteRef/>
      </w:r>
      <w:r>
        <w:t xml:space="preserve"> </w:t>
      </w:r>
      <w:r>
        <w:tab/>
        <w:t>V. Frazer, Golden Bough 2, I, pp. 250, 253, 256, 257, 258.</w:t>
      </w:r>
    </w:p>
  </w:footnote>
  <w:footnote w:id="643">
    <w:p w:rsidR="009A6BD2" w:rsidRDefault="003E2D0F">
      <w:pPr>
        <w:pStyle w:val="Testonotaapidipagina"/>
      </w:pPr>
      <w:r>
        <w:rPr>
          <w:rStyle w:val="Rimandonotaapidipagina"/>
        </w:rPr>
        <w:footnoteRef/>
      </w:r>
      <w:r>
        <w:t xml:space="preserve"> </w:t>
      </w:r>
      <w:r>
        <w:tab/>
        <w:t>Third Rep., pp. 229, 233.</w:t>
      </w:r>
    </w:p>
  </w:footnote>
  <w:footnote w:id="644">
    <w:p w:rsidR="009A6BD2" w:rsidRDefault="003E2D0F">
      <w:pPr>
        <w:pStyle w:val="Testonotaapidipagina"/>
      </w:pPr>
      <w:r>
        <w:rPr>
          <w:rStyle w:val="Rimandonotaapidipagina"/>
        </w:rPr>
        <w:footnoteRef/>
      </w:r>
      <w:r>
        <w:t xml:space="preserve"> </w:t>
      </w:r>
      <w:r>
        <w:tab/>
        <w:t>Indian Trib</w:t>
      </w:r>
      <w:r>
        <w:t>es, IV, p. 86.</w:t>
      </w:r>
    </w:p>
  </w:footnote>
  <w:footnote w:id="645">
    <w:p w:rsidR="009A6BD2" w:rsidRDefault="003E2D0F">
      <w:pPr>
        <w:pStyle w:val="Testonotaapidipagina"/>
      </w:pPr>
      <w:r>
        <w:rPr>
          <w:rStyle w:val="Rimandonotaapidipagina"/>
        </w:rPr>
        <w:footnoteRef/>
      </w:r>
      <w:r>
        <w:t xml:space="preserve"> </w:t>
      </w:r>
      <w:r>
        <w:tab/>
        <w:t xml:space="preserve">Par exemple, chez les Batta de Sumatra (v. Golden Bough 2, III, p. 420), en Mélanésie (CODRINGTON, The Melanesians, p. 178), dans l'archipel malais (TYLOR, Remarks on Totemism, in J.A.I., nouvelle série, I, p. 147). On remarquera que les </w:t>
      </w:r>
      <w:r>
        <w:t>cas où l'âme, après la mort, se présente nettement sous forme animale sont empruntés à des sociétés où le totémisme est plus ou moins entamé. C'est que, là où les croyances totémiques sont relativement pures, l'idée d'âme est forcément ambiguë ; car le tot</w:t>
      </w:r>
      <w:r>
        <w:t>émisme implique qu'elle participe à la fois des deux règnes. Elle ne peut se déterminer dans un sens ou dans l'autre d'une manière exclusive, mais prend tantôt un aspect et tantôt l'autre suivant les circonstances. Plus le totémisme régresse, moins cette a</w:t>
      </w:r>
      <w:r>
        <w:t>mbiguïté devient nécessaire, en même temps que les esprits ressentent un plus vif besoin de distinction. Alors, les affinités si marquées de l'âme pour le règne animal se font sentir, surtout après qu'elle est libérée du corps humain.</w:t>
      </w:r>
    </w:p>
  </w:footnote>
  <w:footnote w:id="646">
    <w:p w:rsidR="009A6BD2" w:rsidRDefault="003E2D0F">
      <w:pPr>
        <w:pStyle w:val="Testonotaapidipagina"/>
      </w:pPr>
      <w:r>
        <w:rPr>
          <w:rStyle w:val="Rimandonotaapidipagina"/>
        </w:rPr>
        <w:footnoteRef/>
      </w:r>
      <w:r>
        <w:t xml:space="preserve"> </w:t>
      </w:r>
      <w:r>
        <w:tab/>
        <w:t>V. plus haut, p. 2</w:t>
      </w:r>
      <w:r>
        <w:t>42. Sur la généralité de la croyance à la métempsycose, v. Tylor, II, p. 8 et suiv.</w:t>
      </w:r>
    </w:p>
  </w:footnote>
  <w:footnote w:id="647">
    <w:p w:rsidR="009A6BD2" w:rsidRDefault="003E2D0F">
      <w:pPr>
        <w:pStyle w:val="Testonotaapidipagina"/>
      </w:pPr>
      <w:r>
        <w:rPr>
          <w:rStyle w:val="Rimandonotaapidipagina"/>
        </w:rPr>
        <w:footnoteRef/>
      </w:r>
      <w:r>
        <w:t xml:space="preserve"> </w:t>
      </w:r>
      <w:r>
        <w:tab/>
        <w:t>Si les représentations religieuses et morales constituent, croyons-nous, les éléments essentiels de l'idée d'âme, nous n'entendons pas dire cependant que ce soient les s</w:t>
      </w:r>
      <w:r>
        <w:t>euls. Autour de ce noyau central, d'autres états de conscience viennent se grouper qui ont, quoique à un moindre degré, le même caractère. C'est le cas de toutes les formes supérieures de la vie intellectuelle, en raison du prix tout particulier et de la d</w:t>
      </w:r>
      <w:r>
        <w:t>ignité que leur attribue la société. Quand nous vivons de la vie de la science ou de l'art, nous avons l'impression de nous mouvoir dans un cercle de choses supérieures à la sensation; c'est ce que nous aurons, d'ailleurs, l'occasion de montrer avec plus d</w:t>
      </w:r>
      <w:r>
        <w:t>e précision dans notre conclusion. C'est pourquoi les hautes fonctions de l'intelligence ont toujours été considérées comme des manifestations spécifiques de l'activité de l'âme. mais elles n'eussent vraisemblablement pas suffi à en constituer la notion.</w:t>
      </w:r>
    </w:p>
  </w:footnote>
  <w:footnote w:id="648">
    <w:p w:rsidR="009A6BD2" w:rsidRDefault="003E2D0F">
      <w:pPr>
        <w:pStyle w:val="Testonotaapidipagina"/>
      </w:pPr>
      <w:r>
        <w:rPr>
          <w:rStyle w:val="Rimandonotaapidipagina"/>
        </w:rPr>
        <w:footnoteRef/>
      </w:r>
      <w:r>
        <w:t xml:space="preserve"> </w:t>
      </w:r>
      <w:r>
        <w:tab/>
        <w:t>F. TREGEAR, The Maori-Polynesian Comparative Dictionary, pp. 203-205.</w:t>
      </w:r>
    </w:p>
  </w:footnote>
  <w:footnote w:id="649">
    <w:p w:rsidR="009A6BD2" w:rsidRDefault="003E2D0F">
      <w:pPr>
        <w:pStyle w:val="Testonotaapidipagina"/>
      </w:pPr>
      <w:r>
        <w:rPr>
          <w:rStyle w:val="Rimandonotaapidipagina"/>
        </w:rPr>
        <w:footnoteRef/>
      </w:r>
      <w:r>
        <w:t xml:space="preserve"> </w:t>
      </w:r>
      <w:r>
        <w:tab/>
        <w:t xml:space="preserve">C'est la thèse de Preuss dans les articles du Globus que nous avons plusieurs fois cités. Il semble que M. LÉVY-BRUHL tend lui aussi vers la même conception (v. Fonctions mentales, </w:t>
      </w:r>
      <w:r>
        <w:t>etc., pp. 92-93).</w:t>
      </w:r>
    </w:p>
  </w:footnote>
  <w:footnote w:id="650">
    <w:p w:rsidR="009A6BD2" w:rsidRDefault="003E2D0F">
      <w:pPr>
        <w:pStyle w:val="Testonotaapidipagina"/>
      </w:pPr>
      <w:r>
        <w:rPr>
          <w:rStyle w:val="Rimandonotaapidipagina"/>
        </w:rPr>
        <w:footnoteRef/>
      </w:r>
      <w:r>
        <w:t xml:space="preserve"> </w:t>
      </w:r>
      <w:r>
        <w:tab/>
        <w:t>V. sur ce point notre Suicide, p. 233 et suiv.</w:t>
      </w:r>
    </w:p>
  </w:footnote>
  <w:footnote w:id="651">
    <w:p w:rsidR="009A6BD2" w:rsidRDefault="003E2D0F">
      <w:pPr>
        <w:pStyle w:val="Testonotaapidipagina"/>
      </w:pPr>
      <w:r>
        <w:rPr>
          <w:rStyle w:val="Rimandonotaapidipagina"/>
        </w:rPr>
        <w:footnoteRef/>
      </w:r>
      <w:r>
        <w:t xml:space="preserve"> </w:t>
      </w:r>
      <w:r>
        <w:tab/>
        <w:t>On objectera peut-être que l'unité est la caractéristique de la personnalité, alors que l'âme a toujours été conçue comme multiple, comme susceptible de se diviser et de se subdiviser p</w:t>
      </w:r>
      <w:r>
        <w:t>resque à l'infini. Mais nous savons aujourd'hui que l'unité de la personne est également faite de parties, qu'elle est, elle aussi, susceptible de se diviser et de se décomposer. Cependant, la notion de personnalité ne s'évanouit pas par cela seul que nous</w:t>
      </w:r>
      <w:r>
        <w:t xml:space="preserve"> avons cessé de la concevoir sous la forme d'un atome métaphysique et indivisible. Il en est de même de ces conceptions populaires de la personnalité qui ont trouvé leur expression dans l'idée d'âme. Elles montrent que les peuples ont toujours eu le sentim</w:t>
      </w:r>
      <w:r>
        <w:t>ent que la personne humaine n'avait pas cette unité absolue que lui ont prêtée certains métaphysiciens.</w:t>
      </w:r>
    </w:p>
  </w:footnote>
  <w:footnote w:id="652">
    <w:p w:rsidR="009A6BD2" w:rsidRDefault="003E2D0F">
      <w:pPr>
        <w:pStyle w:val="Testonotaapidipagina"/>
      </w:pPr>
      <w:r>
        <w:rPr>
          <w:rStyle w:val="Rimandonotaapidipagina"/>
        </w:rPr>
        <w:footnoteRef/>
      </w:r>
      <w:r>
        <w:t xml:space="preserve"> </w:t>
      </w:r>
      <w:r>
        <w:tab/>
        <w:t>Nous ne nions pas, pour cela, l'importance du facteur individuel: il s'explique, de notre point de vue, tout aussi aisément que son contraire. Si l'é</w:t>
      </w:r>
      <w:r>
        <w:t>lément essentiel de la personnalité est ce qu'il y a de social en nous, d'un autre côté, il ne peut y avoir de vie sociale que si des individus distincts sont associés, et elle est d'autant plus riche qu'ils sont plus nombreux et plus différents les uns de</w:t>
      </w:r>
      <w:r>
        <w:t xml:space="preserve">s autres. Le facteur individuel est donc condition du facteur impersonnel. La réciproque n'est pas moins vraie, car la société elle-même est une source importante de différenciations individuelles (v. </w:t>
      </w:r>
      <w:r>
        <w:rPr>
          <w:i/>
          <w:iCs/>
        </w:rPr>
        <w:t xml:space="preserve">Division du travail social, </w:t>
      </w:r>
      <w:r>
        <w:t>3e éd., p. 627 et suiv.).</w:t>
      </w:r>
    </w:p>
  </w:footnote>
  <w:footnote w:id="653">
    <w:p w:rsidR="009A6BD2" w:rsidRDefault="003E2D0F">
      <w:pPr>
        <w:pStyle w:val="Testonotaapidipagina"/>
      </w:pPr>
      <w:r>
        <w:rPr>
          <w:rStyle w:val="Rimandonotaapidipagina"/>
        </w:rPr>
        <w:footnoteRef/>
      </w:r>
      <w:r>
        <w:t xml:space="preserve"> </w:t>
      </w:r>
      <w:r>
        <w:tab/>
        <w:t>ROTH, Superstition, Magic, etc., § 65,68; SPENCER et GILLEN, Nat. Tr., p. 514, 516.</w:t>
      </w:r>
    </w:p>
  </w:footnote>
  <w:footnote w:id="654">
    <w:p w:rsidR="009A6BD2" w:rsidRDefault="003E2D0F">
      <w:pPr>
        <w:pStyle w:val="Testonotaapidipagina"/>
      </w:pPr>
      <w:r>
        <w:rPr>
          <w:rStyle w:val="Rimandonotaapidipagina"/>
        </w:rPr>
        <w:footnoteRef/>
      </w:r>
      <w:r>
        <w:t xml:space="preserve"> </w:t>
      </w:r>
      <w:r>
        <w:tab/>
        <w:t>SPENCER et GILLEN, Nat. Tr., pp. 515, 521; DAWSON, Austral. Aborig., p. 58 ; ROTH, Superstition, etc., § 67.</w:t>
      </w:r>
    </w:p>
  </w:footnote>
  <w:footnote w:id="655">
    <w:p w:rsidR="009A6BD2" w:rsidRDefault="003E2D0F">
      <w:pPr>
        <w:pStyle w:val="Testonotaapidipagina"/>
      </w:pPr>
      <w:r>
        <w:rPr>
          <w:rStyle w:val="Rimandonotaapidipagina"/>
        </w:rPr>
        <w:footnoteRef/>
      </w:r>
      <w:r>
        <w:t xml:space="preserve"> </w:t>
      </w:r>
      <w:r>
        <w:tab/>
        <w:t>SPENCER et GILLEN, Nat. Tr., p. 517.</w:t>
      </w:r>
    </w:p>
  </w:footnote>
  <w:footnote w:id="656">
    <w:p w:rsidR="009A6BD2" w:rsidRDefault="003E2D0F">
      <w:pPr>
        <w:pStyle w:val="Testonotaapidipagina"/>
      </w:pPr>
      <w:r>
        <w:rPr>
          <w:rStyle w:val="Rimandonotaapidipagina"/>
        </w:rPr>
        <w:footnoteRef/>
      </w:r>
      <w:r>
        <w:t xml:space="preserve"> </w:t>
      </w:r>
      <w:r>
        <w:tab/>
        <w:t>STREHLOW, II, p</w:t>
      </w:r>
      <w:r>
        <w:t>. 76 et no 1; SPENCER et GILLEN, Nat.  Tr., pp. 514,516.</w:t>
      </w:r>
    </w:p>
  </w:footnote>
  <w:footnote w:id="657">
    <w:p w:rsidR="009A6BD2" w:rsidRDefault="003E2D0F">
      <w:pPr>
        <w:pStyle w:val="Testonotaapidipagina"/>
      </w:pPr>
      <w:r>
        <w:rPr>
          <w:rStyle w:val="Rimandonotaapidipagina"/>
        </w:rPr>
        <w:footnoteRef/>
      </w:r>
      <w:r>
        <w:t xml:space="preserve"> </w:t>
      </w:r>
      <w:r>
        <w:tab/>
        <w:t>SPENCER et GILLEN, Nat. Tr., p. 513.</w:t>
      </w:r>
    </w:p>
  </w:footnote>
  <w:footnote w:id="658">
    <w:p w:rsidR="009A6BD2" w:rsidRDefault="003E2D0F">
      <w:pPr>
        <w:pStyle w:val="Testonotaapidipagina"/>
      </w:pPr>
      <w:r>
        <w:rPr>
          <w:rStyle w:val="Rimandonotaapidipagina"/>
        </w:rPr>
        <w:footnoteRef/>
      </w:r>
      <w:r>
        <w:t xml:space="preserve"> </w:t>
      </w:r>
      <w:r>
        <w:tab/>
        <w:t>V. sur cette question NEGRIOLI, Dei Genii presso i Romani; les articles « Daimon» et « Genius» dans Diction. des Ant.; PRELLER, Roemische Mgthologie, II, P.</w:t>
      </w:r>
      <w:r>
        <w:t xml:space="preserve"> 195 et suiv</w:t>
      </w:r>
    </w:p>
  </w:footnote>
  <w:footnote w:id="659">
    <w:p w:rsidR="009A6BD2" w:rsidRDefault="003E2D0F">
      <w:pPr>
        <w:pStyle w:val="Testonotaapidipagina"/>
      </w:pPr>
      <w:r>
        <w:rPr>
          <w:rStyle w:val="Rimandonotaapidipagina"/>
        </w:rPr>
        <w:footnoteRef/>
      </w:r>
      <w:r>
        <w:t xml:space="preserve"> </w:t>
      </w:r>
      <w:r>
        <w:tab/>
        <w:t>NEGRIOLI, p. 4.</w:t>
      </w:r>
    </w:p>
  </w:footnote>
  <w:footnote w:id="660">
    <w:p w:rsidR="009A6BD2" w:rsidRDefault="003E2D0F">
      <w:pPr>
        <w:pStyle w:val="Testonotaapidipagina"/>
      </w:pPr>
      <w:r>
        <w:rPr>
          <w:rStyle w:val="Rimandonotaapidipagina"/>
        </w:rPr>
        <w:footnoteRef/>
      </w:r>
      <w:r>
        <w:t xml:space="preserve"> </w:t>
      </w:r>
      <w:r>
        <w:tab/>
        <w:t>Ibid., p. 8.</w:t>
      </w:r>
    </w:p>
  </w:footnote>
  <w:footnote w:id="661">
    <w:p w:rsidR="009A6BD2" w:rsidRDefault="003E2D0F">
      <w:pPr>
        <w:pStyle w:val="Testonotaapidipagina"/>
      </w:pPr>
      <w:r>
        <w:rPr>
          <w:rStyle w:val="Rimandonotaapidipagina"/>
        </w:rPr>
        <w:footnoteRef/>
      </w:r>
      <w:r>
        <w:t xml:space="preserve"> </w:t>
      </w:r>
      <w:r>
        <w:tab/>
        <w:t>Ibid., p. 7.</w:t>
      </w:r>
    </w:p>
  </w:footnote>
  <w:footnote w:id="662">
    <w:p w:rsidR="009A6BD2" w:rsidRDefault="003E2D0F">
      <w:pPr>
        <w:pStyle w:val="Testonotaapidipagina"/>
      </w:pPr>
      <w:r>
        <w:rPr>
          <w:rStyle w:val="Rimandonotaapidipagina"/>
        </w:rPr>
        <w:footnoteRef/>
      </w:r>
      <w:r>
        <w:t xml:space="preserve"> </w:t>
      </w:r>
      <w:r>
        <w:tab/>
        <w:t>Ibid., p. 11. Cf. SAMTER, Der Ursprung des Larencultus, in Archiv. f. Religionswissenschaft, 1907, pp. 368-393.</w:t>
      </w:r>
    </w:p>
  </w:footnote>
  <w:footnote w:id="663">
    <w:p w:rsidR="009A6BD2" w:rsidRDefault="003E2D0F">
      <w:pPr>
        <w:pStyle w:val="Testonotaapidipagina"/>
      </w:pPr>
      <w:r>
        <w:rPr>
          <w:rStyle w:val="Rimandonotaapidipagina"/>
        </w:rPr>
        <w:footnoteRef/>
      </w:r>
      <w:r>
        <w:t xml:space="preserve"> </w:t>
      </w:r>
      <w:r>
        <w:tab/>
        <w:t>SCHULZE, loc. cit, p. 237.</w:t>
      </w:r>
    </w:p>
  </w:footnote>
  <w:footnote w:id="664">
    <w:p w:rsidR="009A6BD2" w:rsidRDefault="003E2D0F">
      <w:pPr>
        <w:pStyle w:val="Testonotaapidipagina"/>
      </w:pPr>
      <w:r>
        <w:rPr>
          <w:rStyle w:val="Rimandonotaapidipagina"/>
        </w:rPr>
        <w:footnoteRef/>
      </w:r>
      <w:r>
        <w:t xml:space="preserve"> </w:t>
      </w:r>
      <w:r>
        <w:tab/>
        <w:t>STREHLOW, I, p. 5. Cf. SPENCER et GILLEN, Na</w:t>
      </w:r>
      <w:r>
        <w:t>t. Tr., p. 133; GASON, in CURR, II, p. 69.</w:t>
      </w:r>
    </w:p>
  </w:footnote>
  <w:footnote w:id="665">
    <w:p w:rsidR="009A6BD2" w:rsidRDefault="003E2D0F">
      <w:pPr>
        <w:pStyle w:val="Testonotaapidipagina"/>
      </w:pPr>
      <w:r>
        <w:rPr>
          <w:rStyle w:val="Rimandonotaapidipagina"/>
        </w:rPr>
        <w:footnoteRef/>
      </w:r>
      <w:r>
        <w:t xml:space="preserve"> </w:t>
      </w:r>
      <w:r>
        <w:tab/>
        <w:t>V. dans HOWITT (Nat. Tr., p. 482), le cas d'un Mura-mura qui est considéré comme l'esprit de certaines sources thermales.</w:t>
      </w:r>
    </w:p>
  </w:footnote>
  <w:footnote w:id="666">
    <w:p w:rsidR="009A6BD2" w:rsidRDefault="003E2D0F">
      <w:pPr>
        <w:pStyle w:val="Testonotaapidipagina"/>
      </w:pPr>
      <w:r>
        <w:rPr>
          <w:rStyle w:val="Rimandonotaapidipagina"/>
        </w:rPr>
        <w:footnoteRef/>
      </w:r>
      <w:r>
        <w:t xml:space="preserve"> </w:t>
      </w:r>
      <w:r>
        <w:tab/>
        <w:t>North. Tr., p. 313-314 ; MATHEWS, Journal of B. S. of N. S. Wales, XXXVIII, p. 351. D</w:t>
      </w:r>
      <w:r>
        <w:t>e même, chez les Dieri, il y a un Mura-mura dont la fonction est de produire de la pluie (HOWITT, Nat. Tr., pp. 798-799).</w:t>
      </w:r>
    </w:p>
  </w:footnote>
  <w:footnote w:id="667">
    <w:p w:rsidR="009A6BD2" w:rsidRDefault="003E2D0F">
      <w:pPr>
        <w:pStyle w:val="Testonotaapidipagina"/>
      </w:pPr>
      <w:r>
        <w:rPr>
          <w:rStyle w:val="Rimandonotaapidipagina"/>
        </w:rPr>
        <w:footnoteRef/>
      </w:r>
      <w:r>
        <w:t xml:space="preserve"> </w:t>
      </w:r>
      <w:r>
        <w:tab/>
        <w:t>ROTH, Superstition, etc., § 67. Cf. DAWSON, p. 58.</w:t>
      </w:r>
    </w:p>
  </w:footnote>
  <w:footnote w:id="668">
    <w:p w:rsidR="009A6BD2" w:rsidRDefault="003E2D0F">
      <w:pPr>
        <w:pStyle w:val="Testonotaapidipagina"/>
      </w:pPr>
      <w:r>
        <w:rPr>
          <w:rStyle w:val="Rimandonotaapidipagina"/>
        </w:rPr>
        <w:footnoteRef/>
      </w:r>
      <w:r>
        <w:t xml:space="preserve"> </w:t>
      </w:r>
      <w:r>
        <w:tab/>
        <w:t>STREHLOW, 1, p. 2 et suiv.</w:t>
      </w:r>
    </w:p>
  </w:footnote>
  <w:footnote w:id="669">
    <w:p w:rsidR="009A6BD2" w:rsidRDefault="003E2D0F">
      <w:pPr>
        <w:pStyle w:val="Testonotaapidipagina"/>
      </w:pPr>
      <w:r>
        <w:rPr>
          <w:rStyle w:val="Rimandonotaapidipagina"/>
        </w:rPr>
        <w:footnoteRef/>
      </w:r>
      <w:r>
        <w:t xml:space="preserve"> </w:t>
      </w:r>
      <w:r>
        <w:tab/>
        <w:t>V. plus haut, pp. 356-357.</w:t>
      </w:r>
    </w:p>
  </w:footnote>
  <w:footnote w:id="670">
    <w:p w:rsidR="009A6BD2" w:rsidRDefault="003E2D0F">
      <w:pPr>
        <w:pStyle w:val="Testonotaapidipagina"/>
      </w:pPr>
      <w:r>
        <w:rPr>
          <w:rStyle w:val="Rimandonotaapidipagina"/>
        </w:rPr>
        <w:footnoteRef/>
      </w:r>
      <w:r>
        <w:t xml:space="preserve"> </w:t>
      </w:r>
      <w:r>
        <w:tab/>
        <w:t>North. Tr., chap.</w:t>
      </w:r>
      <w:r>
        <w:t xml:space="preserve"> VII.</w:t>
      </w:r>
    </w:p>
  </w:footnote>
  <w:footnote w:id="671">
    <w:p w:rsidR="009A6BD2" w:rsidRDefault="003E2D0F">
      <w:pPr>
        <w:pStyle w:val="Testonotaapidipagina"/>
      </w:pPr>
      <w:r>
        <w:rPr>
          <w:rStyle w:val="Rimandonotaapidipagina"/>
        </w:rPr>
        <w:footnoteRef/>
      </w:r>
      <w:r>
        <w:t xml:space="preserve"> </w:t>
      </w:r>
      <w:r>
        <w:tab/>
        <w:t>SPENCER et GILLEN, North. Tr., p. 277.</w:t>
      </w:r>
    </w:p>
  </w:footnote>
  <w:footnote w:id="672">
    <w:p w:rsidR="009A6BD2" w:rsidRDefault="003E2D0F">
      <w:pPr>
        <w:pStyle w:val="Testonotaapidipagina"/>
      </w:pPr>
      <w:r>
        <w:rPr>
          <w:rStyle w:val="Rimandonotaapidipagina"/>
        </w:rPr>
        <w:footnoteRef/>
      </w:r>
      <w:r>
        <w:t xml:space="preserve"> </w:t>
      </w:r>
      <w:r>
        <w:tab/>
        <w:t>STREHLOW, I, p. 5.</w:t>
      </w:r>
    </w:p>
  </w:footnote>
  <w:footnote w:id="673">
    <w:p w:rsidR="009A6BD2" w:rsidRDefault="003E2D0F">
      <w:pPr>
        <w:pStyle w:val="Testonotaapidipagina"/>
      </w:pPr>
      <w:r>
        <w:rPr>
          <w:rStyle w:val="Rimandonotaapidipagina"/>
        </w:rPr>
        <w:footnoteRef/>
      </w:r>
      <w:r>
        <w:t xml:space="preserve"> </w:t>
      </w:r>
      <w:r>
        <w:tab/>
        <w:t>Il y a, il est vrai, des arbres et des rochers nanja qui ne sont pas situés autour de l'ertnatulunga; ils sont épars sur des points différents du territoire. On dit qu'ils corresponde</w:t>
      </w:r>
      <w:r>
        <w:t>nt à des endroits où un ancêtre isolé a disparu dans le sol, a perdu un membre, laissé couler son sang ou oublié un churinga qui s'est transformé soit en arbre soit en rocher. Mais ces emplacements totémiques n'ont qu'une importance secondaire ; STREHLOW l</w:t>
      </w:r>
      <w:r>
        <w:t>es appelle des kleinere Totemplätze (I, pp. 4-5). On peut donc penser qu'ils n'ont pris ce caractère que par analogie avec les centres totémiques principaux. Les arbres, les rochers qui, pour une raison quelconque, rappelaient ceux que l'on trouvait dans l</w:t>
      </w:r>
      <w:r>
        <w:t>e voisinage de quelques ertnatulunga, inspirèrent des sentiments analogues et, par suite, le mythe qui s'était formé à propos des seconds s'étendit aux premiers.</w:t>
      </w:r>
    </w:p>
  </w:footnote>
  <w:footnote w:id="674">
    <w:p w:rsidR="009A6BD2" w:rsidRDefault="003E2D0F">
      <w:pPr>
        <w:pStyle w:val="Testonotaapidipagina"/>
      </w:pPr>
      <w:r>
        <w:rPr>
          <w:rStyle w:val="Rimandonotaapidipagina"/>
        </w:rPr>
        <w:footnoteRef/>
      </w:r>
      <w:r>
        <w:t xml:space="preserve"> </w:t>
      </w:r>
      <w:r>
        <w:tab/>
        <w:t>Nat. Tr., p. 139.</w:t>
      </w:r>
    </w:p>
  </w:footnote>
  <w:footnote w:id="675">
    <w:p w:rsidR="009A6BD2" w:rsidRDefault="003E2D0F">
      <w:pPr>
        <w:pStyle w:val="Testonotaapidipagina"/>
      </w:pPr>
      <w:r>
        <w:rPr>
          <w:rStyle w:val="Rimandonotaapidipagina"/>
        </w:rPr>
        <w:footnoteRef/>
      </w:r>
      <w:r>
        <w:t xml:space="preserve"> </w:t>
      </w:r>
      <w:r>
        <w:tab/>
        <w:t>PARKER, The Euahlayi, p. 21. Généralement, l'arbre qui sert à cet empl</w:t>
      </w:r>
      <w:r>
        <w:t>oi est un de ceux qui figurent parmi les sous-totems de l'individu. On donne comme raison de ce choix que, étant de la même famille que cet individu, ils doivent être plus disposés à lui prêter assistance (ibid., p 29).</w:t>
      </w:r>
    </w:p>
  </w:footnote>
  <w:footnote w:id="676">
    <w:p w:rsidR="009A6BD2" w:rsidRDefault="003E2D0F">
      <w:pPr>
        <w:pStyle w:val="Testonotaapidipagina"/>
      </w:pPr>
      <w:r>
        <w:rPr>
          <w:rStyle w:val="Rimandonotaapidipagina"/>
        </w:rPr>
        <w:footnoteRef/>
      </w:r>
      <w:r>
        <w:t xml:space="preserve"> </w:t>
      </w:r>
      <w:r>
        <w:tab/>
        <w:t>Ibid., p. 36.</w:t>
      </w:r>
    </w:p>
  </w:footnote>
  <w:footnote w:id="677">
    <w:p w:rsidR="009A6BD2" w:rsidRDefault="003E2D0F">
      <w:pPr>
        <w:pStyle w:val="Testonotaapidipagina"/>
      </w:pPr>
      <w:r>
        <w:rPr>
          <w:rStyle w:val="Rimandonotaapidipagina"/>
        </w:rPr>
        <w:footnoteRef/>
      </w:r>
      <w:r>
        <w:t xml:space="preserve"> </w:t>
      </w:r>
      <w:r>
        <w:tab/>
        <w:t>STREHLOW, II, p.</w:t>
      </w:r>
      <w:r>
        <w:t xml:space="preserve"> 81.</w:t>
      </w:r>
    </w:p>
  </w:footnote>
  <w:footnote w:id="678">
    <w:p w:rsidR="009A6BD2" w:rsidRDefault="003E2D0F">
      <w:pPr>
        <w:pStyle w:val="Testonotaapidipagina"/>
      </w:pPr>
      <w:r>
        <w:rPr>
          <w:rStyle w:val="Rimandonotaapidipagina"/>
        </w:rPr>
        <w:footnoteRef/>
      </w:r>
      <w:r>
        <w:t xml:space="preserve"> </w:t>
      </w:r>
      <w:r>
        <w:tab/>
        <w:t>PARKER, Op. cit., p. 21.</w:t>
      </w:r>
    </w:p>
  </w:footnote>
  <w:footnote w:id="679">
    <w:p w:rsidR="009A6BD2" w:rsidRDefault="003E2D0F">
      <w:pPr>
        <w:pStyle w:val="Testonotaapidipagina"/>
      </w:pPr>
      <w:r>
        <w:rPr>
          <w:rStyle w:val="Rimandonotaapidipagina"/>
        </w:rPr>
        <w:footnoteRef/>
      </w:r>
      <w:r>
        <w:t xml:space="preserve"> </w:t>
      </w:r>
      <w:r>
        <w:tab/>
        <w:t>CODRINGTON, The Melanesians, pp. 249-253.</w:t>
      </w:r>
    </w:p>
  </w:footnote>
  <w:footnote w:id="680">
    <w:p w:rsidR="009A6BD2" w:rsidRDefault="003E2D0F">
      <w:pPr>
        <w:pStyle w:val="Testonotaapidipagina"/>
      </w:pPr>
      <w:r>
        <w:rPr>
          <w:rStyle w:val="Rimandonotaapidipagina"/>
        </w:rPr>
        <w:footnoteRef/>
      </w:r>
      <w:r>
        <w:t xml:space="preserve"> </w:t>
      </w:r>
      <w:r>
        <w:tab/>
        <w:t>TURNER, Samoa, p. 17.</w:t>
      </w:r>
    </w:p>
  </w:footnote>
  <w:footnote w:id="681">
    <w:p w:rsidR="009A6BD2" w:rsidRDefault="003E2D0F">
      <w:pPr>
        <w:pStyle w:val="Testonotaapidipagina"/>
      </w:pPr>
      <w:r>
        <w:rPr>
          <w:rStyle w:val="Rimandonotaapidipagina"/>
        </w:rPr>
        <w:footnoteRef/>
      </w:r>
      <w:r>
        <w:t xml:space="preserve"> </w:t>
      </w:r>
      <w:r>
        <w:tab/>
        <w:t>Ce sont les expressions mêmes employées par CODRINGTON (p. 251).</w:t>
      </w:r>
    </w:p>
  </w:footnote>
  <w:footnote w:id="682">
    <w:p w:rsidR="009A6BD2" w:rsidRDefault="003E2D0F">
      <w:pPr>
        <w:pStyle w:val="Testonotaapidipagina"/>
      </w:pPr>
      <w:r>
        <w:rPr>
          <w:rStyle w:val="Rimandonotaapidipagina"/>
        </w:rPr>
        <w:footnoteRef/>
      </w:r>
      <w:r>
        <w:t xml:space="preserve"> </w:t>
      </w:r>
      <w:r>
        <w:tab/>
        <w:t>Cet étroit rapport entre l'âme, le génie protecteur et la conscience morale de l'i</w:t>
      </w:r>
      <w:r>
        <w:t>ndividu est particulièrement apparent chez certaines populations de l'Indonésie. « Une des sept âmes du Tobabatak est enterrée avec le placenta ; tout en résidant de préférence en cet endroit, elle peut le quitter pour donner des avertissements à l'individ</w:t>
      </w:r>
      <w:r>
        <w:t xml:space="preserve">u ou lui manifester son approbation quand il se conduit bien. Elle joue donc, en un sens, le rôle de conscience morale. Toutefois, ses avertissements ne s'étendent pas seulement au domaine des faits moraux. On l'appelle le plus jeune frère de l'âme, comme </w:t>
      </w:r>
      <w:r>
        <w:t>on appelle le placenta le frère cadet de l'enfant... A la guerre, elle inspire à l'homme le courage de marcher contre l'ennemi » (WARNECK, Der bataksche Ahnen und Geisterkult, in Allg. Missionszeilschrift, Berlin, 1904, p. 10. Cf. Kruijt, Het Animisme in d</w:t>
      </w:r>
      <w:r>
        <w:t>en indischen Archipel, p. 25).</w:t>
      </w:r>
    </w:p>
  </w:footnote>
  <w:footnote w:id="683">
    <w:p w:rsidR="009A6BD2" w:rsidRDefault="003E2D0F">
      <w:pPr>
        <w:pStyle w:val="Testonotaapidipagina"/>
      </w:pPr>
      <w:r>
        <w:rPr>
          <w:rStyle w:val="Rimandonotaapidipagina"/>
        </w:rPr>
        <w:footnoteRef/>
      </w:r>
      <w:r>
        <w:t xml:space="preserve"> </w:t>
      </w:r>
      <w:r>
        <w:tab/>
        <w:t>Il resterait à rechercher d'où vient que, à partir d'un certain moment de l'évolution, ce dédoublement de l'âme s'est fait sous la forme du totem individuel plutôt que sous celle de l'ancêtre protecteur. La question a peut</w:t>
      </w:r>
      <w:r>
        <w:t>-être un intérêt plus ethnographique que sociologique. Voici pourtant comment il est possible de représenter la manière dont s'est vraisemblablement opérée cette substitution.</w:t>
      </w:r>
    </w:p>
    <w:p w:rsidR="009A6BD2" w:rsidRDefault="003E2D0F">
      <w:pPr>
        <w:pStyle w:val="Testonotaapidipagina"/>
        <w:ind w:firstLine="348"/>
      </w:pPr>
      <w:r>
        <w:t xml:space="preserve">Le totem individuel a dû commencer par jouer un rôle simplement complémentaire. </w:t>
      </w:r>
      <w:r>
        <w:t>Les individus qui voulaient acquérir des pouvoirs supérieurs à ceux du vulgaire ne se contentèrent pas, et ne pouvaient pas se contenter, de la seule protection de l'ancêtre ; ils cherchèrent donc à se ménager un autre auxiliaire du même genre. C'est ainsi</w:t>
      </w:r>
      <w:r>
        <w:t xml:space="preserve"> que, chez les Euahlayi, les magiciens sont les seuls qui aient ou qui puissent procurer des totems individuels. Comme, en outre, chacun d'eux a un totem collectif, il se trouve avoir plusieurs âmes. Mais cette pluralité d'âmes n'a rien qui puisse surprend</w:t>
      </w:r>
      <w:r>
        <w:t>re : elle est la condition d'une efficacité supérieure.</w:t>
      </w:r>
    </w:p>
    <w:p w:rsidR="009A6BD2" w:rsidRDefault="003E2D0F">
      <w:pPr>
        <w:pStyle w:val="Testonotaapidipagina"/>
      </w:pPr>
      <w:r>
        <w:tab/>
      </w:r>
      <w:r>
        <w:tab/>
        <w:t xml:space="preserve">Seulement, une fois que le totémisme collectif eut perdu du terrain et que, par suite, la conception de l'ancêtre protecteur commença à s'effacer des esprits, il devint nécessaire de se représenter </w:t>
      </w:r>
      <w:r>
        <w:t>d'une autre manière la double nature de l'âme qui continuait à être sentie. L'idée subsistait qu'en dehors de l'âme individuelle il y en avait une autre chargée de veiller sur la première. Puisque cette puissance protectrice n'était plus désignée par le fa</w:t>
      </w:r>
      <w:r>
        <w:t xml:space="preserve">it même de la naissance, on trouva naturel d'employer, pour la découvrir, des moyens analogues à ceux dont les magiciens se servaient pour entrer en commerce avec les forces dont ils s'assuraient le concours. </w:t>
      </w:r>
    </w:p>
    <w:p w:rsidR="009A6BD2" w:rsidRDefault="003E2D0F">
      <w:pPr>
        <w:pStyle w:val="Testonotaapidipagina"/>
      </w:pPr>
    </w:p>
  </w:footnote>
  <w:footnote w:id="684">
    <w:p w:rsidR="009A6BD2" w:rsidRDefault="003E2D0F">
      <w:pPr>
        <w:pStyle w:val="Testonotaapidipagina"/>
      </w:pPr>
      <w:r>
        <w:rPr>
          <w:rStyle w:val="Rimandonotaapidipagina"/>
        </w:rPr>
        <w:footnoteRef/>
      </w:r>
      <w:r>
        <w:t xml:space="preserve"> </w:t>
      </w:r>
      <w:r>
        <w:tab/>
        <w:t>V. par exemple STREHLOW, II, p. 82.</w:t>
      </w:r>
    </w:p>
  </w:footnote>
  <w:footnote w:id="685">
    <w:p w:rsidR="009A6BD2" w:rsidRDefault="003E2D0F">
      <w:pPr>
        <w:pStyle w:val="Testonotaapidipagina"/>
      </w:pPr>
      <w:r>
        <w:rPr>
          <w:rStyle w:val="Rimandonotaapidipagina"/>
        </w:rPr>
        <w:footnoteRef/>
      </w:r>
      <w:r>
        <w:t xml:space="preserve"> </w:t>
      </w:r>
      <w:r>
        <w:tab/>
        <w:t>WYA</w:t>
      </w:r>
      <w:r>
        <w:t>TT, Adelaide and Encounter Bay Tribes, in WOODS, p. 168.</w:t>
      </w:r>
    </w:p>
  </w:footnote>
  <w:footnote w:id="686">
    <w:p w:rsidR="009A6BD2" w:rsidRDefault="003E2D0F">
      <w:pPr>
        <w:pStyle w:val="Testonotaapidipagina"/>
      </w:pPr>
      <w:r>
        <w:rPr>
          <w:rStyle w:val="Rimandonotaapidipagina"/>
        </w:rPr>
        <w:footnoteRef/>
      </w:r>
      <w:r>
        <w:t xml:space="preserve"> </w:t>
      </w:r>
      <w:r>
        <w:tab/>
        <w:t>TAPLIN, The Narrinyeri, pp. 62-63 ; ROTH, Superstition, etc., § 116; HOWITT, Nat. Tr., p. 356, 358 ; STREHLOW, pp. 11-12.</w:t>
      </w:r>
    </w:p>
  </w:footnote>
  <w:footnote w:id="687">
    <w:p w:rsidR="009A6BD2" w:rsidRDefault="003E2D0F">
      <w:pPr>
        <w:pStyle w:val="Testonotaapidipagina"/>
      </w:pPr>
      <w:r>
        <w:rPr>
          <w:rStyle w:val="Rimandonotaapidipagina"/>
        </w:rPr>
        <w:footnoteRef/>
      </w:r>
      <w:r>
        <w:t xml:space="preserve"> </w:t>
      </w:r>
      <w:r>
        <w:tab/>
        <w:t>STREHLOW, I, pp. 13-14; DAWSON, p. 49.</w:t>
      </w:r>
    </w:p>
  </w:footnote>
  <w:footnote w:id="688">
    <w:p w:rsidR="009A6BD2" w:rsidRDefault="003E2D0F">
      <w:pPr>
        <w:pStyle w:val="Testonotaapidipagina"/>
      </w:pPr>
      <w:r>
        <w:rPr>
          <w:rStyle w:val="Rimandonotaapidipagina"/>
        </w:rPr>
        <w:footnoteRef/>
      </w:r>
      <w:r>
        <w:t xml:space="preserve"> </w:t>
      </w:r>
      <w:r>
        <w:tab/>
        <w:t>STREHLOW, I, pp. 11-14; EYLMA</w:t>
      </w:r>
      <w:r>
        <w:t>NN, pp. 182,185; SPENCER et GILLEN, North. Tr., p. 211; SCHÜRMANN, The Aborig. Tr. of Port Lincoln, in WOODS, p. 239.</w:t>
      </w:r>
    </w:p>
  </w:footnote>
  <w:footnote w:id="689">
    <w:p w:rsidR="009A6BD2" w:rsidRDefault="003E2D0F">
      <w:pPr>
        <w:pStyle w:val="Testonotaapidipagina"/>
      </w:pPr>
      <w:r>
        <w:rPr>
          <w:rStyle w:val="Rimandonotaapidipagina"/>
        </w:rPr>
        <w:footnoteRef/>
      </w:r>
      <w:r>
        <w:t xml:space="preserve"> </w:t>
      </w:r>
      <w:r>
        <w:tab/>
        <w:t>EYLMANN, p. 182.</w:t>
      </w:r>
    </w:p>
  </w:footnote>
  <w:footnote w:id="690">
    <w:p w:rsidR="009A6BD2" w:rsidRDefault="003E2D0F">
      <w:pPr>
        <w:pStyle w:val="Testonotaapidipagina"/>
      </w:pPr>
      <w:r>
        <w:rPr>
          <w:rStyle w:val="Rimandonotaapidipagina"/>
        </w:rPr>
        <w:footnoteRef/>
      </w:r>
      <w:r>
        <w:t xml:space="preserve"> </w:t>
      </w:r>
      <w:r>
        <w:tab/>
        <w:t>MATHEWS, Journ. of R. S. of N. S. Wales, XXXVIII, p. 345; FISON et HOWITT, Kamilaroi a. Kurnai, p. 467; STREHLOW, I</w:t>
      </w:r>
      <w:r>
        <w:t>, p. 11.</w:t>
      </w:r>
    </w:p>
  </w:footnote>
  <w:footnote w:id="691">
    <w:p w:rsidR="009A6BD2" w:rsidRDefault="003E2D0F">
      <w:pPr>
        <w:pStyle w:val="Testonotaapidipagina"/>
      </w:pPr>
      <w:r>
        <w:rPr>
          <w:rStyle w:val="Rimandonotaapidipagina"/>
        </w:rPr>
        <w:footnoteRef/>
      </w:r>
      <w:r>
        <w:t xml:space="preserve"> </w:t>
      </w:r>
      <w:r>
        <w:tab/>
        <w:t>ROTH, Superstition, etc., § 115; EYLMANN, p. 190.</w:t>
      </w:r>
    </w:p>
  </w:footnote>
  <w:footnote w:id="692">
    <w:p w:rsidR="009A6BD2" w:rsidRDefault="003E2D0F">
      <w:pPr>
        <w:pStyle w:val="Testonotaapidipagina"/>
      </w:pPr>
      <w:r>
        <w:rPr>
          <w:rStyle w:val="Rimandonotaapidipagina"/>
        </w:rPr>
        <w:footnoteRef/>
      </w:r>
      <w:r>
        <w:t xml:space="preserve"> </w:t>
      </w:r>
      <w:r>
        <w:tab/>
        <w:t>Nat. Tr., p. 390-391. Strehlow appelle Erintja les mauvais esprits; mais ce mot et celui d'Oruncha sont évidemment équivalents. Cependant, il y a une différence dans la manière dont les uns e</w:t>
      </w:r>
      <w:r>
        <w:t>t les autres nous sont présentés. Les Oruncha, d'après Spencer et Gillen, seraient plus malicieux que méchants; même, suivant ces observateurs (p. 328), les Arunta ne connaîtraient pas d'esprits foncièrement malveillants. Au contraire, les Erintja de Streh</w:t>
      </w:r>
      <w:r>
        <w:t>low ont pour fonction régulière de faire du mal. D'ailleurs, d'après certains mythes que SPENCER et GILLEN rapportent eux-mêmes (Nat. Tr., p. 390), il semble bien qu'ils aient quelque peu embelli la physionomie des Oruncha : primitivement, c'étaient des so</w:t>
      </w:r>
      <w:r>
        <w:t>rtes d'ogres (ibid., p. 331).</w:t>
      </w:r>
    </w:p>
  </w:footnote>
  <w:footnote w:id="693">
    <w:p w:rsidR="009A6BD2" w:rsidRDefault="003E2D0F">
      <w:pPr>
        <w:pStyle w:val="Testonotaapidipagina"/>
      </w:pPr>
      <w:r>
        <w:rPr>
          <w:rStyle w:val="Rimandonotaapidipagina"/>
        </w:rPr>
        <w:footnoteRef/>
      </w:r>
      <w:r>
        <w:t xml:space="preserve"> </w:t>
      </w:r>
      <w:r>
        <w:tab/>
        <w:t>SPENCER et GILLEN, Nat. Tr., pp. 390-391.</w:t>
      </w:r>
    </w:p>
  </w:footnote>
  <w:footnote w:id="694">
    <w:p w:rsidR="009A6BD2" w:rsidRDefault="003E2D0F">
      <w:pPr>
        <w:pStyle w:val="Testonotaapidipagina"/>
      </w:pPr>
      <w:r>
        <w:rPr>
          <w:rStyle w:val="Rimandonotaapidipagina"/>
        </w:rPr>
        <w:footnoteRef/>
      </w:r>
      <w:r>
        <w:t xml:space="preserve"> </w:t>
      </w:r>
      <w:r>
        <w:tab/>
        <w:t>Ibid., p. 551.</w:t>
      </w:r>
    </w:p>
  </w:footnote>
  <w:footnote w:id="695">
    <w:p w:rsidR="009A6BD2" w:rsidRDefault="003E2D0F">
      <w:pPr>
        <w:pStyle w:val="Testonotaapidipagina"/>
      </w:pPr>
      <w:r>
        <w:rPr>
          <w:rStyle w:val="Rimandonotaapidipagina"/>
        </w:rPr>
        <w:footnoteRef/>
      </w:r>
      <w:r>
        <w:t xml:space="preserve"> </w:t>
      </w:r>
      <w:r>
        <w:tab/>
        <w:t>SPENCER et GILLEN, Nat. Tr., pp. 326-327.</w:t>
      </w:r>
    </w:p>
  </w:footnote>
  <w:footnote w:id="696">
    <w:p w:rsidR="009A6BD2" w:rsidRDefault="003E2D0F">
      <w:pPr>
        <w:pStyle w:val="Testonotaapidipagina"/>
      </w:pPr>
      <w:r>
        <w:rPr>
          <w:rStyle w:val="Rimandonotaapidipagina"/>
        </w:rPr>
        <w:footnoteRef/>
      </w:r>
      <w:r>
        <w:t xml:space="preserve"> </w:t>
      </w:r>
      <w:r>
        <w:tab/>
        <w:t>STREHLOW, I, p. 14. Quand il y a deux jumeaux, le premier né passe pour avoir été conçu de cette manière.</w:t>
      </w:r>
    </w:p>
  </w:footnote>
  <w:footnote w:id="697">
    <w:p w:rsidR="009A6BD2" w:rsidRDefault="003E2D0F">
      <w:pPr>
        <w:pStyle w:val="Testonotaapidipagina"/>
      </w:pPr>
      <w:r>
        <w:rPr>
          <w:rStyle w:val="Rimandonotaapidipagina"/>
        </w:rPr>
        <w:footnoteRef/>
      </w:r>
      <w:r>
        <w:t xml:space="preserve"> </w:t>
      </w:r>
      <w:r>
        <w:tab/>
        <w:t>SPENCE</w:t>
      </w:r>
      <w:r>
        <w:t>R et GILLEN, Nat. Tr., p. 327.</w:t>
      </w:r>
    </w:p>
  </w:footnote>
  <w:footnote w:id="698">
    <w:p w:rsidR="009A6BD2" w:rsidRDefault="003E2D0F">
      <w:pPr>
        <w:pStyle w:val="Testonotaapidipagina"/>
      </w:pPr>
      <w:r>
        <w:rPr>
          <w:rStyle w:val="Rimandonotaapidipagina"/>
        </w:rPr>
        <w:footnoteRef/>
      </w:r>
      <w:r>
        <w:t xml:space="preserve"> </w:t>
      </w:r>
      <w:r>
        <w:tab/>
        <w:t>HOWITT, Nat. Tr., pp. 358, 381, 385; SPENCER et GILLEN, Nat. Tr., p. 334; North. Tr., pp. 501, 530.</w:t>
      </w:r>
    </w:p>
  </w:footnote>
  <w:footnote w:id="699">
    <w:p w:rsidR="009A6BD2" w:rsidRDefault="003E2D0F">
      <w:pPr>
        <w:pStyle w:val="Testonotaapidipagina"/>
      </w:pPr>
      <w:r>
        <w:rPr>
          <w:rStyle w:val="Rimandonotaapidipagina"/>
        </w:rPr>
        <w:footnoteRef/>
      </w:r>
      <w:r>
        <w:t xml:space="preserve"> </w:t>
      </w:r>
      <w:r>
        <w:tab/>
        <w:t xml:space="preserve">Comme le magicien peut ou causer la maladie ou la guérir, à côté des esprits magiques dont la fonction est de faire le </w:t>
      </w:r>
      <w:r>
        <w:t xml:space="preserve">mal, il y en a parfois d'autres dont le rôle est de prévenir ou de neutraliser la mauvaise influence des premiers. On trouvera des cas de ce genre dans North. Tr., p. 501-502. Ce qui montre bien que les seconds sont magiques comme les premiers, c'est que, </w:t>
      </w:r>
      <w:r>
        <w:t>chez les Arunta, les uns et les autres portent le même nom. Ce sont donc des aspects différents d'une même puissance magique.</w:t>
      </w:r>
    </w:p>
  </w:footnote>
  <w:footnote w:id="700">
    <w:p w:rsidR="009A6BD2" w:rsidRDefault="003E2D0F">
      <w:pPr>
        <w:pStyle w:val="Testonotaapidipagina"/>
      </w:pPr>
      <w:r>
        <w:rPr>
          <w:rStyle w:val="Rimandonotaapidipagina"/>
        </w:rPr>
        <w:footnoteRef/>
      </w:r>
      <w:r>
        <w:t xml:space="preserve"> </w:t>
      </w:r>
      <w:r>
        <w:tab/>
        <w:t xml:space="preserve">STREHLOW, I, p. 9. Putiaputia n'est pas, d'ailleurs, le seul personnage de ce genre dont parlent les mythes Arunta : certaines </w:t>
      </w:r>
      <w:r>
        <w:t>portions de la tribu donnent un nom différent au héros auquel elles attribuent la même invention. Il ne faut pas oublier que l'étendue du territoire occupé par les Arunta ne permet pas à la mythologie d'être parfaitement homogène.</w:t>
      </w:r>
    </w:p>
  </w:footnote>
  <w:footnote w:id="701">
    <w:p w:rsidR="009A6BD2" w:rsidRDefault="003E2D0F">
      <w:pPr>
        <w:pStyle w:val="Testonotaapidipagina"/>
      </w:pPr>
      <w:r>
        <w:rPr>
          <w:rStyle w:val="Rimandonotaapidipagina"/>
        </w:rPr>
        <w:footnoteRef/>
      </w:r>
      <w:r>
        <w:t xml:space="preserve"> </w:t>
      </w:r>
      <w:r>
        <w:tab/>
        <w:t>SPENCER et GILLEN, Nor</w:t>
      </w:r>
      <w:r>
        <w:t>th. Tr., p. 493.</w:t>
      </w:r>
    </w:p>
  </w:footnote>
  <w:footnote w:id="702">
    <w:p w:rsidR="009A6BD2" w:rsidRDefault="003E2D0F">
      <w:pPr>
        <w:pStyle w:val="Testonotaapidipagina"/>
      </w:pPr>
      <w:r>
        <w:rPr>
          <w:rStyle w:val="Rimandonotaapidipagina"/>
        </w:rPr>
        <w:footnoteRef/>
      </w:r>
      <w:r>
        <w:t xml:space="preserve"> </w:t>
      </w:r>
      <w:r>
        <w:tab/>
        <w:t>Ibid., p. 498.</w:t>
      </w:r>
    </w:p>
  </w:footnote>
  <w:footnote w:id="703">
    <w:p w:rsidR="009A6BD2" w:rsidRDefault="003E2D0F">
      <w:pPr>
        <w:pStyle w:val="Testonotaapidipagina"/>
      </w:pPr>
      <w:r>
        <w:rPr>
          <w:rStyle w:val="Rimandonotaapidipagina"/>
        </w:rPr>
        <w:footnoteRef/>
      </w:r>
      <w:r>
        <w:t xml:space="preserve"> </w:t>
      </w:r>
      <w:r>
        <w:tab/>
        <w:t>Ibid., pp. 498-499.</w:t>
      </w:r>
    </w:p>
  </w:footnote>
  <w:footnote w:id="704">
    <w:p w:rsidR="009A6BD2" w:rsidRDefault="003E2D0F">
      <w:pPr>
        <w:pStyle w:val="Testonotaapidipagina"/>
      </w:pPr>
      <w:r>
        <w:rPr>
          <w:rStyle w:val="Rimandonotaapidipagina"/>
        </w:rPr>
        <w:footnoteRef/>
      </w:r>
      <w:r>
        <w:t xml:space="preserve"> </w:t>
      </w:r>
      <w:r>
        <w:tab/>
        <w:t>HOWITT, Nat. Tr., p. 135.</w:t>
      </w:r>
    </w:p>
  </w:footnote>
  <w:footnote w:id="705">
    <w:p w:rsidR="009A6BD2" w:rsidRDefault="003E2D0F">
      <w:pPr>
        <w:pStyle w:val="Testonotaapidipagina"/>
      </w:pPr>
      <w:r>
        <w:rPr>
          <w:rStyle w:val="Rimandonotaapidipagina"/>
        </w:rPr>
        <w:footnoteRef/>
      </w:r>
      <w:r>
        <w:t xml:space="preserve"> </w:t>
      </w:r>
      <w:r>
        <w:tab/>
        <w:t>Ibid., p. 476 et suiv.</w:t>
      </w:r>
    </w:p>
  </w:footnote>
  <w:footnote w:id="706">
    <w:p w:rsidR="009A6BD2" w:rsidRDefault="003E2D0F">
      <w:pPr>
        <w:pStyle w:val="Testonotaapidipagina"/>
      </w:pPr>
      <w:r>
        <w:rPr>
          <w:rStyle w:val="Rimandonotaapidipagina"/>
        </w:rPr>
        <w:footnoteRef/>
      </w:r>
      <w:r>
        <w:t xml:space="preserve"> </w:t>
      </w:r>
      <w:r>
        <w:tab/>
        <w:t>STREHLOW, I, pp. 6-8. L’œuvre de Mangarkunjerkunja dut être reprise plus tard par d'autres héros; car, suivant une croyance qui n'est pas pa</w:t>
      </w:r>
      <w:r>
        <w:t>rticulière aux Arunta, un moment vint où les hommes oublièrent les enseignements de leurs premiers initiateurs et se corrompirent.</w:t>
      </w:r>
    </w:p>
  </w:footnote>
  <w:footnote w:id="707">
    <w:p w:rsidR="009A6BD2" w:rsidRDefault="003E2D0F">
      <w:pPr>
        <w:pStyle w:val="Testonotaapidipagina"/>
      </w:pPr>
      <w:r>
        <w:rPr>
          <w:rStyle w:val="Rimandonotaapidipagina"/>
        </w:rPr>
        <w:footnoteRef/>
      </w:r>
      <w:r>
        <w:t xml:space="preserve"> </w:t>
      </w:r>
      <w:r>
        <w:tab/>
        <w:t>C'est le cas, par exemple, d'Atnatu (SPENCER et GILLEN, North. Tr., p. 153), de Witurna (North. Tr., p. 498). Si Tundun n'</w:t>
      </w:r>
      <w:r>
        <w:t>a pas institué les rites, c'est lui qui est chargé d'en diriger la célébration (HOWITT, Nat. Tr., p. 670).</w:t>
      </w:r>
    </w:p>
  </w:footnote>
  <w:footnote w:id="708">
    <w:p w:rsidR="009A6BD2" w:rsidRDefault="003E2D0F">
      <w:pPr>
        <w:pStyle w:val="Testonotaapidipagina"/>
      </w:pPr>
      <w:r>
        <w:rPr>
          <w:rStyle w:val="Rimandonotaapidipagina"/>
        </w:rPr>
        <w:footnoteRef/>
      </w:r>
      <w:r>
        <w:t xml:space="preserve"> </w:t>
      </w:r>
      <w:r>
        <w:tab/>
        <w:t>North. Tr., p. 499.</w:t>
      </w:r>
    </w:p>
  </w:footnote>
  <w:footnote w:id="709">
    <w:p w:rsidR="009A6BD2" w:rsidRDefault="003E2D0F">
      <w:pPr>
        <w:pStyle w:val="Testonotaapidipagina"/>
      </w:pPr>
      <w:r>
        <w:rPr>
          <w:rStyle w:val="Rimandonotaapidipagina"/>
        </w:rPr>
        <w:footnoteRef/>
      </w:r>
      <w:r>
        <w:t xml:space="preserve"> </w:t>
      </w:r>
      <w:r>
        <w:tab/>
        <w:t>HOWITT, Nat. Tr., p. 493; Kamilaroi and Kurnai, p. 197 et 267; SPENCER et GILLEN, North. Tr., p. 492.</w:t>
      </w:r>
    </w:p>
  </w:footnote>
  <w:footnote w:id="710">
    <w:p w:rsidR="009A6BD2" w:rsidRDefault="003E2D0F">
      <w:pPr>
        <w:pStyle w:val="Testonotaapidipagina"/>
      </w:pPr>
      <w:r>
        <w:rPr>
          <w:rStyle w:val="Rimandonotaapidipagina"/>
        </w:rPr>
        <w:footnoteRef/>
      </w:r>
      <w:r>
        <w:t xml:space="preserve"> </w:t>
      </w:r>
      <w:r>
        <w:tab/>
        <w:t>V. par exemple, No</w:t>
      </w:r>
      <w:r>
        <w:t>rth. Tr., p. 499.</w:t>
      </w:r>
    </w:p>
  </w:footnote>
  <w:footnote w:id="711">
    <w:p w:rsidR="009A6BD2" w:rsidRDefault="003E2D0F">
      <w:pPr>
        <w:pStyle w:val="Testonotaapidipagina"/>
      </w:pPr>
      <w:r>
        <w:rPr>
          <w:rStyle w:val="Rimandonotaapidipagina"/>
        </w:rPr>
        <w:footnoteRef/>
      </w:r>
      <w:r>
        <w:t xml:space="preserve"> </w:t>
      </w:r>
      <w:r>
        <w:tab/>
        <w:t>North. Tr., pp. 338, 347, 499.</w:t>
      </w:r>
    </w:p>
  </w:footnote>
  <w:footnote w:id="712">
    <w:p w:rsidR="009A6BD2" w:rsidRDefault="003E2D0F">
      <w:pPr>
        <w:pStyle w:val="Testonotaapidipagina"/>
      </w:pPr>
      <w:r>
        <w:rPr>
          <w:rStyle w:val="Rimandonotaapidipagina"/>
        </w:rPr>
        <w:footnoteRef/>
      </w:r>
      <w:r>
        <w:t xml:space="preserve"> </w:t>
      </w:r>
      <w:r>
        <w:tab/>
        <w:t>SPENCER et GILLEN, il est vrai, soutiennent que ces êtres mythiques ne jouent aucun rôle moral (North. Tr., p. 493) ; mais c'est qu'ils donnent au mot un sens plus étroit. Les devoirs religieux sont de</w:t>
      </w:r>
      <w:r>
        <w:t>s devoirs : le fait de veiller à la manière dont ils sont observés intéresse donc la mo</w:t>
      </w:r>
      <w:r>
        <w:softHyphen/>
        <w:t>rale, d'autant plus que, à ce moment, la morale tout entière a un caractère religieux.</w:t>
      </w:r>
    </w:p>
  </w:footnote>
  <w:footnote w:id="713">
    <w:p w:rsidR="009A6BD2" w:rsidRDefault="003E2D0F">
      <w:pPr>
        <w:pStyle w:val="Testonotaapidipagina"/>
      </w:pPr>
      <w:r>
        <w:rPr>
          <w:rStyle w:val="Rimandonotaapidipagina"/>
        </w:rPr>
        <w:footnoteRef/>
      </w:r>
      <w:r>
        <w:t xml:space="preserve"> </w:t>
      </w:r>
      <w:r>
        <w:tab/>
        <w:t>Le fait avait été observé, dès 1845, par Eyre, Journals, etc., II, p. 362, et,</w:t>
      </w:r>
      <w:r>
        <w:t xml:space="preserve"> avant Eyre, par Henderson, dans ses Observations on the Colonies of N. S. Wales and Van Diemen's Land, p. 147.</w:t>
      </w:r>
    </w:p>
  </w:footnote>
  <w:footnote w:id="714">
    <w:p w:rsidR="009A6BD2" w:rsidRDefault="003E2D0F">
      <w:pPr>
        <w:pStyle w:val="Testonotaapidipagina"/>
      </w:pPr>
      <w:r>
        <w:rPr>
          <w:rStyle w:val="Rimandonotaapidipagina"/>
        </w:rPr>
        <w:footnoteRef/>
      </w:r>
      <w:r>
        <w:t xml:space="preserve"> </w:t>
      </w:r>
      <w:r>
        <w:tab/>
        <w:t>Nat. Tr., pp. 488-508.</w:t>
      </w:r>
    </w:p>
  </w:footnote>
  <w:footnote w:id="715">
    <w:p w:rsidR="009A6BD2" w:rsidRDefault="003E2D0F">
      <w:pPr>
        <w:pStyle w:val="Testonotaapidipagina"/>
      </w:pPr>
      <w:r>
        <w:rPr>
          <w:rStyle w:val="Rimandonotaapidipagina"/>
        </w:rPr>
        <w:footnoteRef/>
      </w:r>
      <w:r>
        <w:t xml:space="preserve"> </w:t>
      </w:r>
      <w:r>
        <w:tab/>
        <w:t>Chez les Kulin, les Wotjobaluk, les Woëworung (Victoria).</w:t>
      </w:r>
    </w:p>
  </w:footnote>
  <w:footnote w:id="716">
    <w:p w:rsidR="009A6BD2" w:rsidRDefault="003E2D0F">
      <w:pPr>
        <w:pStyle w:val="Testonotaapidipagina"/>
      </w:pPr>
      <w:r>
        <w:rPr>
          <w:rStyle w:val="Rimandonotaapidipagina"/>
        </w:rPr>
        <w:footnoteRef/>
      </w:r>
      <w:r>
        <w:t xml:space="preserve"> </w:t>
      </w:r>
      <w:r>
        <w:tab/>
        <w:t>Chez les Yuin, les Ngarrigo, les Wolgal (Nouvelle-Gall</w:t>
      </w:r>
      <w:r>
        <w:t>es du Sud).</w:t>
      </w:r>
    </w:p>
  </w:footnote>
  <w:footnote w:id="717">
    <w:p w:rsidR="009A6BD2" w:rsidRDefault="003E2D0F">
      <w:pPr>
        <w:pStyle w:val="Testonotaapidipagina"/>
      </w:pPr>
      <w:r>
        <w:rPr>
          <w:rStyle w:val="Rimandonotaapidipagina"/>
        </w:rPr>
        <w:footnoteRef/>
      </w:r>
      <w:r>
        <w:t xml:space="preserve"> </w:t>
      </w:r>
      <w:r>
        <w:tab/>
        <w:t>Chez les Kamilaroi, les Euahlayi (partie septentrionale, de la Nouvelle-Galles du Sud) ; plus au centre, dans la même province, chez les Wonghibon, les Wiradjuri.</w:t>
      </w:r>
    </w:p>
  </w:footnote>
  <w:footnote w:id="718">
    <w:p w:rsidR="009A6BD2" w:rsidRDefault="003E2D0F">
      <w:pPr>
        <w:pStyle w:val="Testonotaapidipagina"/>
      </w:pPr>
      <w:r>
        <w:rPr>
          <w:rStyle w:val="Rimandonotaapidipagina"/>
        </w:rPr>
        <w:footnoteRef/>
      </w:r>
      <w:r>
        <w:t xml:space="preserve"> </w:t>
      </w:r>
      <w:r>
        <w:tab/>
        <w:t>Chez les Wiimbaoi et les tribus du Bas Murray (RIDLEY, Kamilaroi, p. 137; B</w:t>
      </w:r>
      <w:r>
        <w:t>ROUGH SMYTH, I, p. 423, no 431).</w:t>
      </w:r>
    </w:p>
  </w:footnote>
  <w:footnote w:id="719">
    <w:p w:rsidR="009A6BD2" w:rsidRDefault="003E2D0F">
      <w:pPr>
        <w:pStyle w:val="Testonotaapidipagina"/>
      </w:pPr>
      <w:r>
        <w:rPr>
          <w:rStyle w:val="Rimandonotaapidipagina"/>
        </w:rPr>
        <w:footnoteRef/>
      </w:r>
      <w:r>
        <w:t xml:space="preserve"> </w:t>
      </w:r>
      <w:r>
        <w:tab/>
        <w:t>Dans les tribus de la rivière Herbert (HOWITT, Nat. Tr., p. 498).</w:t>
      </w:r>
    </w:p>
  </w:footnote>
  <w:footnote w:id="720">
    <w:p w:rsidR="009A6BD2" w:rsidRDefault="003E2D0F">
      <w:pPr>
        <w:pStyle w:val="Testonotaapidipagina"/>
      </w:pPr>
      <w:r>
        <w:rPr>
          <w:rStyle w:val="Rimandonotaapidipagina"/>
        </w:rPr>
        <w:footnoteRef/>
      </w:r>
      <w:r>
        <w:t xml:space="preserve"> </w:t>
      </w:r>
      <w:r>
        <w:tab/>
        <w:t>Chez les Kurnai.</w:t>
      </w:r>
    </w:p>
  </w:footnote>
  <w:footnote w:id="721">
    <w:p w:rsidR="009A6BD2" w:rsidRDefault="003E2D0F">
      <w:pPr>
        <w:pStyle w:val="Testonotaapidipagina"/>
      </w:pPr>
      <w:r>
        <w:rPr>
          <w:rStyle w:val="Rimandonotaapidipagina"/>
        </w:rPr>
        <w:footnoteRef/>
      </w:r>
      <w:r>
        <w:t xml:space="preserve"> </w:t>
      </w:r>
      <w:r>
        <w:tab/>
        <w:t>TAPLIN, p. 55; Eylmann, p. 182.</w:t>
      </w:r>
    </w:p>
  </w:footnote>
  <w:footnote w:id="722">
    <w:p w:rsidR="009A6BD2" w:rsidRDefault="003E2D0F">
      <w:pPr>
        <w:pStyle w:val="Testonotaapidipagina"/>
      </w:pPr>
      <w:r>
        <w:rPr>
          <w:rStyle w:val="Rimandonotaapidipagina"/>
        </w:rPr>
        <w:footnoteRef/>
      </w:r>
      <w:r>
        <w:t xml:space="preserve"> </w:t>
      </w:r>
      <w:r>
        <w:tab/>
        <w:t>C'est sans doute à ce mura-mura suprême que Gason fait allusion dans le passage déjà Cité (CURR,</w:t>
      </w:r>
      <w:r>
        <w:t xml:space="preserve"> II, p. 55).</w:t>
      </w:r>
    </w:p>
  </w:footnote>
  <w:footnote w:id="723">
    <w:p w:rsidR="009A6BD2" w:rsidRDefault="003E2D0F">
      <w:pPr>
        <w:pStyle w:val="Testonotaapidipagina"/>
      </w:pPr>
      <w:r>
        <w:rPr>
          <w:rStyle w:val="Rimandonotaapidipagina"/>
        </w:rPr>
        <w:footnoteRef/>
      </w:r>
      <w:r>
        <w:t xml:space="preserve"> </w:t>
      </w:r>
      <w:r>
        <w:tab/>
        <w:t>Nat. Tr., p. 246.</w:t>
      </w:r>
    </w:p>
  </w:footnote>
  <w:footnote w:id="724">
    <w:p w:rsidR="009A6BD2" w:rsidRDefault="003E2D0F">
      <w:pPr>
        <w:pStyle w:val="Testonotaapidipagina"/>
      </w:pPr>
      <w:r>
        <w:rPr>
          <w:rStyle w:val="Rimandonotaapidipagina"/>
        </w:rPr>
        <w:footnoteRef/>
      </w:r>
      <w:r>
        <w:t xml:space="preserve"> </w:t>
      </w:r>
      <w:r>
        <w:tab/>
        <w:t>Entre Baiame, Bunjil, Doramalun, d'une part, et Altjira, de l'autre, il y aurait cette différence que ce dernier serait tout à fait étranger à ce qui concerne l'humanité; ce n'est pas lui qui aurait fait les hommes et i</w:t>
      </w:r>
      <w:r>
        <w:t>l ne s'occuperait pas de ce qu'ils font. Les Arunta n'auraient pour lui ni amour ni crainte. Mais, si cette conception a été exactement observée et analysée, il est bien difficile d'admettre qu'elle soit primitive; car si Altjira ne joue aucun rôle, n'expl</w:t>
      </w:r>
      <w:r>
        <w:t xml:space="preserve">ique rien, ne sert à rien, qu'est-ce qui aurait pu déterminer les Arunta à l'imaginer ? Peut-être faut-il y voir une sorte de Baiame qui aurait perdu son ancien prestige, un ancien dieu dont le souvenir irait en s'effaçant. Peut-être aussi Strehlow a-t-il </w:t>
      </w:r>
      <w:r>
        <w:t>mal interprété les témoignages qu'il a recueillis. Suivant EYLMANN, qui n'est pas, il est vrai, un observateur compétent ni très sûr, Altjira aurait fait les hommes (op. cit., p. 184). D'ailleurs, chez les Loritja, le personnage qui, sous le nom de Tukura,</w:t>
      </w:r>
      <w:r>
        <w:t xml:space="preserve"> correspond à l'Altjira des Arunta, est censé célébrer lui-même des cérémonies d'initiation.</w:t>
      </w:r>
    </w:p>
  </w:footnote>
  <w:footnote w:id="725">
    <w:p w:rsidR="009A6BD2" w:rsidRDefault="003E2D0F">
      <w:pPr>
        <w:pStyle w:val="Testonotaapidipagina"/>
      </w:pPr>
      <w:r>
        <w:rPr>
          <w:rStyle w:val="Rimandonotaapidipagina"/>
        </w:rPr>
        <w:footnoteRef/>
      </w:r>
      <w:r>
        <w:t xml:space="preserve"> </w:t>
      </w:r>
      <w:r>
        <w:tab/>
        <w:t>Pour Bunjil, v. Brough SMYTH, I, p. 417; pour Baiame, RIDLEY, Kamilaroi, p. 136; pour Daramulun, HOWITT, Nat. Tr., p. 495.</w:t>
      </w:r>
    </w:p>
  </w:footnote>
  <w:footnote w:id="726">
    <w:p w:rsidR="009A6BD2" w:rsidRDefault="003E2D0F">
      <w:pPr>
        <w:pStyle w:val="Testonotaapidipagina"/>
      </w:pPr>
      <w:r>
        <w:rPr>
          <w:rStyle w:val="Rimandonotaapidipagina"/>
        </w:rPr>
        <w:footnoteRef/>
      </w:r>
      <w:r>
        <w:t xml:space="preserve"> </w:t>
      </w:r>
      <w:r>
        <w:tab/>
        <w:t>Sur la composition de la famille d</w:t>
      </w:r>
      <w:r>
        <w:t>e Bunjil, par exemple, v. HOWITT, Nat. Tr., pp. 128, 129, 489, 491 ; BROUGH SMYTH, I, pp. 417, 423; pour celle de Baiame, L. PARKER, The Euahlayi, pp. 7, 66, 103; Howitt, Nat. Tr., pp. 502, 585, 407; pour celle de Nurunderi, TAPLIN, The Narrinyeri, pp. 57-</w:t>
      </w:r>
      <w:r>
        <w:t>58. Bien entendu, d'ailleurs, il y a toute sorte de variantes dans la manière dont sont conçues ces familles des grands dieux. Tel personnage qui est ici le frère est ailleurs appelé le fils. Le nombre des femmes, leurs noms varient avec les régions.</w:t>
      </w:r>
    </w:p>
  </w:footnote>
  <w:footnote w:id="727">
    <w:p w:rsidR="009A6BD2" w:rsidRDefault="003E2D0F">
      <w:pPr>
        <w:pStyle w:val="Testonotaapidipagina"/>
      </w:pPr>
      <w:r>
        <w:rPr>
          <w:rStyle w:val="Rimandonotaapidipagina"/>
        </w:rPr>
        <w:footnoteRef/>
      </w:r>
      <w:r>
        <w:t xml:space="preserve"> </w:t>
      </w:r>
      <w:r>
        <w:tab/>
        <w:t>HO</w:t>
      </w:r>
      <w:r>
        <w:t>WITT, Nat. Tr., p. 128.</w:t>
      </w:r>
    </w:p>
  </w:footnote>
  <w:footnote w:id="728">
    <w:p w:rsidR="009A6BD2" w:rsidRDefault="003E2D0F">
      <w:pPr>
        <w:pStyle w:val="Testonotaapidipagina"/>
      </w:pPr>
      <w:r>
        <w:rPr>
          <w:rStyle w:val="Rimandonotaapidipagina"/>
        </w:rPr>
        <w:footnoteRef/>
      </w:r>
      <w:r>
        <w:t xml:space="preserve"> </w:t>
      </w:r>
      <w:r>
        <w:tab/>
        <w:t>BROUGH SMYTH, I, pp. 430, 431.</w:t>
      </w:r>
    </w:p>
  </w:footnote>
  <w:footnote w:id="729">
    <w:p w:rsidR="009A6BD2" w:rsidRDefault="003E2D0F">
      <w:pPr>
        <w:pStyle w:val="Testonotaapidipagina"/>
      </w:pPr>
      <w:r>
        <w:rPr>
          <w:rStyle w:val="Rimandonotaapidipagina"/>
        </w:rPr>
        <w:footnoteRef/>
      </w:r>
      <w:r>
        <w:t xml:space="preserve"> </w:t>
      </w:r>
      <w:r>
        <w:tab/>
        <w:t>Ibid., I, p. 432.</w:t>
      </w:r>
    </w:p>
  </w:footnote>
  <w:footnote w:id="730">
    <w:p w:rsidR="009A6BD2" w:rsidRDefault="003E2D0F">
      <w:pPr>
        <w:pStyle w:val="Testonotaapidipagina"/>
      </w:pPr>
      <w:r>
        <w:rPr>
          <w:rStyle w:val="Rimandonotaapidipagina"/>
        </w:rPr>
        <w:footnoteRef/>
      </w:r>
      <w:r>
        <w:t xml:space="preserve"> </w:t>
      </w:r>
      <w:r>
        <w:tab/>
        <w:t>HOWITT, Nat. Tr., p. 498,538; MATHEWS, J. of R. S. of N. S. Wales, XXXVIII, p. 343; RIDLEY, p. 136.</w:t>
      </w:r>
    </w:p>
  </w:footnote>
  <w:footnote w:id="731">
    <w:p w:rsidR="009A6BD2" w:rsidRDefault="003E2D0F">
      <w:pPr>
        <w:pStyle w:val="Testonotaapidipagina"/>
      </w:pPr>
      <w:r>
        <w:rPr>
          <w:rStyle w:val="Rimandonotaapidipagina"/>
        </w:rPr>
        <w:footnoteRef/>
      </w:r>
      <w:r>
        <w:t xml:space="preserve"> </w:t>
      </w:r>
      <w:r>
        <w:tab/>
        <w:t>HOWITT, Nat. Tr., p. 538; TAPLIN, The Narrinyeri, pp. 57-58.</w:t>
      </w:r>
    </w:p>
  </w:footnote>
  <w:footnote w:id="732">
    <w:p w:rsidR="009A6BD2" w:rsidRDefault="003E2D0F">
      <w:pPr>
        <w:pStyle w:val="Testonotaapidipagina"/>
      </w:pPr>
      <w:r>
        <w:rPr>
          <w:rStyle w:val="Rimandonotaapidipagina"/>
        </w:rPr>
        <w:footnoteRef/>
      </w:r>
      <w:r>
        <w:t xml:space="preserve"> </w:t>
      </w:r>
      <w:r>
        <w:tab/>
        <w:t>L. PARK</w:t>
      </w:r>
      <w:r>
        <w:t>ER, The Euahlayi, p. 8.</w:t>
      </w:r>
    </w:p>
  </w:footnote>
  <w:footnote w:id="733">
    <w:p w:rsidR="009A6BD2" w:rsidRDefault="003E2D0F">
      <w:pPr>
        <w:pStyle w:val="Testonotaapidipagina"/>
      </w:pPr>
      <w:r>
        <w:rPr>
          <w:rStyle w:val="Rimandonotaapidipagina"/>
        </w:rPr>
        <w:footnoteRef/>
      </w:r>
      <w:r>
        <w:t xml:space="preserve"> </w:t>
      </w:r>
      <w:r>
        <w:tab/>
        <w:t>BROUGH SMYTH, I, p. 424.</w:t>
      </w:r>
    </w:p>
  </w:footnote>
  <w:footnote w:id="734">
    <w:p w:rsidR="009A6BD2" w:rsidRDefault="003E2D0F">
      <w:pPr>
        <w:pStyle w:val="Testonotaapidipagina"/>
      </w:pPr>
      <w:r>
        <w:rPr>
          <w:rStyle w:val="Rimandonotaapidipagina"/>
        </w:rPr>
        <w:footnoteRef/>
      </w:r>
      <w:r>
        <w:t xml:space="preserve"> </w:t>
      </w:r>
      <w:r>
        <w:tab/>
        <w:t>HOWITT, Nat. Tr., p. 492.</w:t>
      </w:r>
    </w:p>
  </w:footnote>
  <w:footnote w:id="735">
    <w:p w:rsidR="009A6BD2" w:rsidRDefault="003E2D0F">
      <w:pPr>
        <w:pStyle w:val="Testonotaapidipagina"/>
      </w:pPr>
      <w:r>
        <w:rPr>
          <w:rStyle w:val="Rimandonotaapidipagina"/>
        </w:rPr>
        <w:footnoteRef/>
      </w:r>
      <w:r>
        <w:t xml:space="preserve"> </w:t>
      </w:r>
      <w:r>
        <w:tab/>
        <w:t>D'après certains mythes, il aurait fait les hommes et non les femmes; c'est ce qu'on dit de Bunjil. Mais on attribue alors l'origine des femmes à son fils-frère, Pallyan (B</w:t>
      </w:r>
      <w:r>
        <w:t>rough SMYTH, I, pp. 417 et 423).</w:t>
      </w:r>
    </w:p>
  </w:footnote>
  <w:footnote w:id="736">
    <w:p w:rsidR="009A6BD2" w:rsidRDefault="003E2D0F">
      <w:pPr>
        <w:pStyle w:val="Testonotaapidipagina"/>
      </w:pPr>
      <w:r>
        <w:rPr>
          <w:rStyle w:val="Rimandonotaapidipagina"/>
        </w:rPr>
        <w:footnoteRef/>
      </w:r>
      <w:r>
        <w:t xml:space="preserve"> </w:t>
      </w:r>
      <w:r>
        <w:tab/>
        <w:t>HOWITT, Nat. Tr., p. 489,492; MATHEWS, J. of R. S. of N. S. Wales. XXXVIII, p. 340.</w:t>
      </w:r>
    </w:p>
  </w:footnote>
  <w:footnote w:id="737">
    <w:p w:rsidR="009A6BD2" w:rsidRDefault="003E2D0F">
      <w:pPr>
        <w:pStyle w:val="Testonotaapidipagina"/>
      </w:pPr>
      <w:r>
        <w:rPr>
          <w:rStyle w:val="Rimandonotaapidipagina"/>
        </w:rPr>
        <w:footnoteRef/>
      </w:r>
      <w:r>
        <w:t xml:space="preserve"> </w:t>
      </w:r>
      <w:r>
        <w:tab/>
        <w:t>L. PARKER, The Euahlayi, p. 7; HOWITT, Nat. Tr., p. 630.</w:t>
      </w:r>
    </w:p>
  </w:footnote>
  <w:footnote w:id="738">
    <w:p w:rsidR="009A6BD2" w:rsidRDefault="003E2D0F">
      <w:pPr>
        <w:pStyle w:val="Testonotaapidipagina"/>
      </w:pPr>
      <w:r>
        <w:rPr>
          <w:rStyle w:val="Rimandonotaapidipagina"/>
        </w:rPr>
        <w:footnoteRef/>
      </w:r>
      <w:r>
        <w:t xml:space="preserve"> </w:t>
      </w:r>
      <w:r>
        <w:tab/>
        <w:t>RIDLEY, Kamilaroi, p. 136; L. PARKER, The Euahlayi, p. 114.</w:t>
      </w:r>
    </w:p>
  </w:footnote>
  <w:footnote w:id="739">
    <w:p w:rsidR="009A6BD2" w:rsidRDefault="003E2D0F">
      <w:pPr>
        <w:pStyle w:val="Testonotaapidipagina"/>
      </w:pPr>
      <w:r>
        <w:rPr>
          <w:rStyle w:val="Rimandonotaapidipagina"/>
        </w:rPr>
        <w:footnoteRef/>
      </w:r>
      <w:r>
        <w:t xml:space="preserve"> </w:t>
      </w:r>
      <w:r>
        <w:tab/>
        <w:t>L. PARKER,</w:t>
      </w:r>
      <w:r>
        <w:t xml:space="preserve"> More Austr. Leg. Tales, pp. 84-99, 90-91.</w:t>
      </w:r>
    </w:p>
  </w:footnote>
  <w:footnote w:id="740">
    <w:p w:rsidR="009A6BD2" w:rsidRDefault="003E2D0F">
      <w:pPr>
        <w:pStyle w:val="Testonotaapidipagina"/>
      </w:pPr>
      <w:r>
        <w:rPr>
          <w:rStyle w:val="Rimandonotaapidipagina"/>
        </w:rPr>
        <w:footnoteRef/>
      </w:r>
      <w:r>
        <w:t xml:space="preserve"> </w:t>
      </w:r>
      <w:r>
        <w:tab/>
        <w:t>HOWITT, Nat. Tr., pp. 495, 498, 543, 563, 564; Brough SMYTH, I, p. 429; L. PARKER, The Euahlayi, p, 79.</w:t>
      </w:r>
    </w:p>
  </w:footnote>
  <w:footnote w:id="741">
    <w:p w:rsidR="009A6BD2" w:rsidRDefault="003E2D0F">
      <w:pPr>
        <w:pStyle w:val="Testonotaapidipagina"/>
      </w:pPr>
      <w:r>
        <w:rPr>
          <w:rStyle w:val="Rimandonotaapidipagina"/>
        </w:rPr>
        <w:footnoteRef/>
      </w:r>
      <w:r>
        <w:t xml:space="preserve"> </w:t>
      </w:r>
      <w:r>
        <w:tab/>
        <w:t>RIDLEY, p. 137.</w:t>
      </w:r>
    </w:p>
  </w:footnote>
  <w:footnote w:id="742">
    <w:p w:rsidR="009A6BD2" w:rsidRDefault="003E2D0F">
      <w:pPr>
        <w:pStyle w:val="Testonotaapidipagina"/>
      </w:pPr>
      <w:r>
        <w:rPr>
          <w:rStyle w:val="Rimandonotaapidipagina"/>
        </w:rPr>
        <w:footnoteRef/>
      </w:r>
      <w:r>
        <w:t xml:space="preserve"> </w:t>
      </w:r>
      <w:r>
        <w:tab/>
        <w:t>L. PARKER, The Euahlayi, p. 90-91.</w:t>
      </w:r>
    </w:p>
  </w:footnote>
  <w:footnote w:id="743">
    <w:p w:rsidR="009A6BD2" w:rsidRDefault="003E2D0F">
      <w:pPr>
        <w:pStyle w:val="Testonotaapidipagina"/>
      </w:pPr>
      <w:r>
        <w:rPr>
          <w:rStyle w:val="Rimandonotaapidipagina"/>
        </w:rPr>
        <w:footnoteRef/>
      </w:r>
      <w:r>
        <w:t xml:space="preserve"> </w:t>
      </w:r>
      <w:r>
        <w:tab/>
        <w:t>HOWITT, Nat. Tr., p. 495; TAPLIN, The Narrinye</w:t>
      </w:r>
      <w:r>
        <w:t>ri, p. 58.</w:t>
      </w:r>
    </w:p>
  </w:footnote>
  <w:footnote w:id="744">
    <w:p w:rsidR="009A6BD2" w:rsidRDefault="003E2D0F">
      <w:pPr>
        <w:pStyle w:val="Testonotaapidipagina"/>
      </w:pPr>
      <w:r>
        <w:rPr>
          <w:rStyle w:val="Rimandonotaapidipagina"/>
        </w:rPr>
        <w:footnoteRef/>
      </w:r>
      <w:r>
        <w:t xml:space="preserve"> </w:t>
      </w:r>
      <w:r>
        <w:tab/>
        <w:t>HOWITT, Nat. Tr., p. 588, 543, 553, 555, 556; MATHEWS, loc. cut. p. 318; L. PARKER, The Euahlayi, pp. 6, 79, 80.</w:t>
      </w:r>
    </w:p>
  </w:footnote>
  <w:footnote w:id="745">
    <w:p w:rsidR="009A6BD2" w:rsidRDefault="003E2D0F">
      <w:pPr>
        <w:pStyle w:val="Testonotaapidipagina"/>
      </w:pPr>
      <w:r>
        <w:rPr>
          <w:rStyle w:val="Rimandonotaapidipagina"/>
        </w:rPr>
        <w:footnoteRef/>
      </w:r>
      <w:r>
        <w:t xml:space="preserve"> </w:t>
      </w:r>
      <w:r>
        <w:tab/>
        <w:t>HOWITT, Nat. Tr., pp. 498, 528.</w:t>
      </w:r>
    </w:p>
  </w:footnote>
  <w:footnote w:id="746">
    <w:p w:rsidR="009A6BD2" w:rsidRDefault="003E2D0F">
      <w:pPr>
        <w:pStyle w:val="Testonotaapidipagina"/>
      </w:pPr>
      <w:r>
        <w:rPr>
          <w:rStyle w:val="Rimandonotaapidipagina"/>
        </w:rPr>
        <w:footnoteRef/>
      </w:r>
      <w:r>
        <w:t xml:space="preserve"> </w:t>
      </w:r>
      <w:r>
        <w:tab/>
        <w:t>HOWITT, ibid., p. 493; L. PARKER, The Euahlayi, p. 76.</w:t>
      </w:r>
    </w:p>
  </w:footnote>
  <w:footnote w:id="747">
    <w:p w:rsidR="009A6BD2" w:rsidRDefault="003E2D0F">
      <w:pPr>
        <w:pStyle w:val="Testonotaapidipagina"/>
      </w:pPr>
      <w:r>
        <w:rPr>
          <w:rStyle w:val="Rimandonotaapidipagina"/>
        </w:rPr>
        <w:footnoteRef/>
      </w:r>
      <w:r>
        <w:t xml:space="preserve"> </w:t>
      </w:r>
      <w:r>
        <w:tab/>
        <w:t>L. PARKER, The Euahlayi, p. 76; H</w:t>
      </w:r>
      <w:r>
        <w:t>OWITT, Nat. Tr., pp. 493, 612.</w:t>
      </w:r>
    </w:p>
  </w:footnote>
  <w:footnote w:id="748">
    <w:p w:rsidR="009A6BD2" w:rsidRDefault="003E2D0F">
      <w:pPr>
        <w:pStyle w:val="Testonotaapidipagina"/>
      </w:pPr>
      <w:r>
        <w:rPr>
          <w:rStyle w:val="Rimandonotaapidipagina"/>
        </w:rPr>
        <w:footnoteRef/>
      </w:r>
      <w:r>
        <w:t xml:space="preserve"> </w:t>
      </w:r>
      <w:r>
        <w:tab/>
        <w:t xml:space="preserve">RIDLEY, Kamilaroi, p. 153; L. PARKER, The Euahlayi, p. 67; HOWITT, Nat. Tr., P. 585; MATHEWS, loc. cit., p. 343. Par opposition à Baiame, Daramulun est parfois présenté comme un esprit foncièrement malveillant (L. PARKER, </w:t>
      </w:r>
      <w:r>
        <w:t>loc. Cil. ; RIDLEY, in BROUGH SMYTH, II, p. 285)</w:t>
      </w:r>
    </w:p>
  </w:footnote>
  <w:footnote w:id="749">
    <w:p w:rsidR="009A6BD2" w:rsidRDefault="003E2D0F">
      <w:pPr>
        <w:pStyle w:val="Testonotaapidipagina"/>
      </w:pPr>
      <w:r>
        <w:rPr>
          <w:rStyle w:val="Rimandonotaapidipagina"/>
        </w:rPr>
        <w:footnoteRef/>
      </w:r>
      <w:r>
        <w:t xml:space="preserve"> </w:t>
      </w:r>
      <w:r>
        <w:tab/>
        <w:t>J.A.I., XXI, p. 292 et suiv.</w:t>
      </w:r>
    </w:p>
  </w:footnote>
  <w:footnote w:id="750">
    <w:p w:rsidR="009A6BD2" w:rsidRDefault="003E2D0F">
      <w:pPr>
        <w:pStyle w:val="Testonotaapidipagina"/>
      </w:pPr>
      <w:r>
        <w:rPr>
          <w:rStyle w:val="Rimandonotaapidipagina"/>
        </w:rPr>
        <w:footnoteRef/>
      </w:r>
      <w:r>
        <w:t xml:space="preserve"> </w:t>
      </w:r>
      <w:r>
        <w:tab/>
        <w:t>The Making of Religion, pp. 187-293.</w:t>
      </w:r>
    </w:p>
  </w:footnote>
  <w:footnote w:id="751">
    <w:p w:rsidR="009A6BD2" w:rsidRDefault="003E2D0F">
      <w:pPr>
        <w:pStyle w:val="Testonotaapidipagina"/>
      </w:pPr>
      <w:r>
        <w:rPr>
          <w:rStyle w:val="Rimandonotaapidipagina"/>
        </w:rPr>
        <w:footnoteRef/>
      </w:r>
      <w:r>
        <w:t xml:space="preserve"> </w:t>
      </w:r>
      <w:r>
        <w:tab/>
        <w:t>LANG, ibid., p. 331. M. Lang se borne à dire que l'hypothèse de saint Paul lui paraît la moins défectueuse (the most unsatisfactory)</w:t>
      </w:r>
      <w:r>
        <w:t>.</w:t>
      </w:r>
    </w:p>
  </w:footnote>
  <w:footnote w:id="752">
    <w:p w:rsidR="009A6BD2" w:rsidRDefault="003E2D0F">
      <w:pPr>
        <w:pStyle w:val="Testonotaapidipagina"/>
      </w:pPr>
      <w:r>
        <w:rPr>
          <w:rStyle w:val="Rimandonotaapidipagina"/>
        </w:rPr>
        <w:footnoteRef/>
      </w:r>
      <w:r>
        <w:t xml:space="preserve"> </w:t>
      </w:r>
      <w:r>
        <w:tab/>
        <w:t>Le P. SCHMIDT a repris la thèse de A. Lang dans Anthropos (1908, 1909), Contre Sidney HARTLAND, qui avait critiqué la théorie de Lang dans un article du Folk-lore (tome IX, p. 290 et suiv.), intitulé The « High Gods » of Australia, le P. SCHMIDT entre</w:t>
      </w:r>
      <w:r>
        <w:t xml:space="preserve">prend de démontrer que Baiame, Bunjil, etc., sont des dieux éternels, créateurs, tout-puissants, omniscients, gardiens de l'ordre moral. Nous n'entrerons pas dans cette discussion qui nous paraît sans intérêt et sans portée. Si l'on donne à ces différents </w:t>
      </w:r>
      <w:r>
        <w:t>adjectifs un sens relatif, en harmonie avec la mentalité australienne, nous sommes tout prêt à les prendre à notre compte et nous les avons nous-même employés. De ce point de vue, tout-puissant veut dire, qui a plus de pouvoir que les autres êtres sacrés ;</w:t>
      </w:r>
      <w:r>
        <w:t xml:space="preserve"> omniscient, qui voit des choses qui échappent au vulgaire et même aux plus grands magiciens ; gardien de l'ordre moral, qui fait respecter les règles de la morale australienne, si différente qu'elle soit de la nôtre. Mais si l'on veut donner à ces mots un</w:t>
      </w:r>
      <w:r>
        <w:t>e signification que, seul, un spiritualiste chrétien peut y attacher, il nous paraît inutile de discuter une opinion si contraire aux principes de la méthode historique.</w:t>
      </w:r>
    </w:p>
  </w:footnote>
  <w:footnote w:id="753">
    <w:p w:rsidR="009A6BD2" w:rsidRDefault="003E2D0F">
      <w:pPr>
        <w:pStyle w:val="Testonotaapidipagina"/>
      </w:pPr>
      <w:r>
        <w:rPr>
          <w:rStyle w:val="Rimandonotaapidipagina"/>
        </w:rPr>
        <w:footnoteRef/>
      </w:r>
      <w:r>
        <w:t xml:space="preserve"> </w:t>
      </w:r>
      <w:r>
        <w:tab/>
        <w:t>V. sur cette question N. W. Thomas,  Baiame and Bell-bird. A note on Australian Rel</w:t>
      </w:r>
      <w:r>
        <w:t>igion, in Man, 1905,  no 28. Cf. LANG, Magie and Religion, p. 25. WAITZ avait déjà soutenu le caractère original de cette conception dans Anthropologie d, Naturvölker, pp. 796-798.</w:t>
      </w:r>
    </w:p>
  </w:footnote>
  <w:footnote w:id="754">
    <w:p w:rsidR="009A6BD2" w:rsidRDefault="003E2D0F">
      <w:pPr>
        <w:pStyle w:val="Testonotaapidipagina"/>
      </w:pPr>
      <w:r>
        <w:rPr>
          <w:rStyle w:val="Rimandonotaapidipagina"/>
        </w:rPr>
        <w:footnoteRef/>
      </w:r>
      <w:r>
        <w:t xml:space="preserve"> </w:t>
      </w:r>
      <w:r>
        <w:tab/>
        <w:t>DAWSON, p. 49; MEYER, Encounter Bay Tribe, in WOODS, pp. 205, 206; HOWIT</w:t>
      </w:r>
      <w:r>
        <w:t>T, Nat. Tr., pp. 481, 491, 492, 494; RIDLEY, Kamilaroi, p. 136.</w:t>
      </w:r>
    </w:p>
  </w:footnote>
  <w:footnote w:id="755">
    <w:p w:rsidR="009A6BD2" w:rsidRDefault="003E2D0F">
      <w:pPr>
        <w:pStyle w:val="Testonotaapidipagina"/>
      </w:pPr>
      <w:r>
        <w:rPr>
          <w:rStyle w:val="Rimandonotaapidipagina"/>
        </w:rPr>
        <w:footnoteRef/>
      </w:r>
      <w:r>
        <w:t xml:space="preserve"> </w:t>
      </w:r>
      <w:r>
        <w:tab/>
        <w:t>TAPLIN, The Narrinyeri, pp. 55-56.</w:t>
      </w:r>
    </w:p>
  </w:footnote>
  <w:footnote w:id="756">
    <w:p w:rsidR="009A6BD2" w:rsidRDefault="003E2D0F">
      <w:pPr>
        <w:pStyle w:val="Testonotaapidipagina"/>
      </w:pPr>
      <w:r>
        <w:rPr>
          <w:rStyle w:val="Rimandonotaapidipagina"/>
        </w:rPr>
        <w:footnoteRef/>
      </w:r>
      <w:r>
        <w:t xml:space="preserve"> </w:t>
      </w:r>
      <w:r>
        <w:tab/>
        <w:t>L. PARKER, More Austr. Leg. Tales, p. 94.</w:t>
      </w:r>
    </w:p>
  </w:footnote>
  <w:footnote w:id="757">
    <w:p w:rsidR="009A6BD2" w:rsidRDefault="003E2D0F">
      <w:pPr>
        <w:pStyle w:val="Testonotaapidipagina"/>
      </w:pPr>
      <w:r>
        <w:rPr>
          <w:rStyle w:val="Rimandonotaapidipagina"/>
        </w:rPr>
        <w:footnoteRef/>
      </w:r>
      <w:r>
        <w:t xml:space="preserve"> </w:t>
      </w:r>
      <w:r>
        <w:tab/>
        <w:t>TAPLIN, ibid., p. 61.</w:t>
      </w:r>
    </w:p>
  </w:footnote>
  <w:footnote w:id="758">
    <w:p w:rsidR="009A6BD2" w:rsidRDefault="003E2D0F">
      <w:pPr>
        <w:pStyle w:val="Testonotaapidipagina"/>
      </w:pPr>
      <w:r>
        <w:rPr>
          <w:rStyle w:val="Rimandonotaapidipagina"/>
        </w:rPr>
        <w:footnoteRef/>
      </w:r>
      <w:r>
        <w:t xml:space="preserve"> </w:t>
      </w:r>
      <w:r>
        <w:tab/>
        <w:t>BROUGH SMYTH, I, pp. 425-427.</w:t>
      </w:r>
    </w:p>
  </w:footnote>
  <w:footnote w:id="759">
    <w:p w:rsidR="009A6BD2" w:rsidRDefault="003E2D0F">
      <w:pPr>
        <w:pStyle w:val="Testonotaapidipagina"/>
      </w:pPr>
      <w:r>
        <w:rPr>
          <w:rStyle w:val="Rimandonotaapidipagina"/>
        </w:rPr>
        <w:footnoteRef/>
      </w:r>
      <w:r>
        <w:t xml:space="preserve"> </w:t>
      </w:r>
      <w:r>
        <w:tab/>
        <w:t>TAPLIN, ibid., p. 60.</w:t>
      </w:r>
    </w:p>
  </w:footnote>
  <w:footnote w:id="760">
    <w:p w:rsidR="009A6BD2" w:rsidRDefault="003E2D0F">
      <w:pPr>
        <w:pStyle w:val="Testonotaapidipagina"/>
      </w:pPr>
      <w:r>
        <w:rPr>
          <w:rStyle w:val="Rimandonotaapidipagina"/>
        </w:rPr>
        <w:footnoteRef/>
      </w:r>
      <w:r>
        <w:t xml:space="preserve"> </w:t>
      </w:r>
      <w:r>
        <w:tab/>
        <w:t>« Le monde fut créé par</w:t>
      </w:r>
      <w:r>
        <w:t xml:space="preserve"> des êtres qu'on appelle des Nuralie; ces êtres, qui existaient depuis longtemps, avaient la forme les uns du corbeau, les autres de l'aigle-faucon » (BROUGH SMYTH, I, pp. 423-424).</w:t>
      </w:r>
    </w:p>
  </w:footnote>
  <w:footnote w:id="761">
    <w:p w:rsidR="009A6BD2" w:rsidRDefault="003E2D0F">
      <w:pPr>
        <w:pStyle w:val="Testonotaapidipagina"/>
      </w:pPr>
      <w:r>
        <w:rPr>
          <w:rStyle w:val="Rimandonotaapidipagina"/>
        </w:rPr>
        <w:footnoteRef/>
      </w:r>
      <w:r>
        <w:t xml:space="preserve"> </w:t>
      </w:r>
      <w:r>
        <w:tab/>
        <w:t>« Byamee, dit Mrs. L. PARKER, est pour les Euahlayi ce que l'Alcheringa</w:t>
      </w:r>
      <w:r>
        <w:t xml:space="preserve"> est pour les Arunta » (The Euahlayi, p. 6).</w:t>
      </w:r>
    </w:p>
  </w:footnote>
  <w:footnote w:id="762">
    <w:p w:rsidR="009A6BD2" w:rsidRDefault="003E2D0F">
      <w:pPr>
        <w:pStyle w:val="Testonotaapidipagina"/>
      </w:pPr>
      <w:r>
        <w:rPr>
          <w:rStyle w:val="Rimandonotaapidipagina"/>
        </w:rPr>
        <w:footnoteRef/>
      </w:r>
      <w:r>
        <w:t xml:space="preserve"> </w:t>
      </w:r>
      <w:r>
        <w:tab/>
        <w:t>V. plus haut, p. 369.</w:t>
      </w:r>
    </w:p>
  </w:footnote>
  <w:footnote w:id="763">
    <w:p w:rsidR="009A6BD2" w:rsidRDefault="003E2D0F">
      <w:pPr>
        <w:pStyle w:val="Testonotaapidipagina"/>
      </w:pPr>
      <w:r>
        <w:rPr>
          <w:rStyle w:val="Rimandonotaapidipagina"/>
        </w:rPr>
        <w:footnoteRef/>
      </w:r>
      <w:r>
        <w:t xml:space="preserve"> </w:t>
      </w:r>
      <w:r>
        <w:tab/>
        <w:t>Dans un autre mythe, rapporté par SPENCER et GILLEN, un rôle tout à fait analogue est rempli par deux personnages qui habitent au ciel et qui sont appelés Ungambikula (Nat. Tr., p. 38</w:t>
      </w:r>
      <w:r>
        <w:t>8 et suiv.).</w:t>
      </w:r>
    </w:p>
  </w:footnote>
  <w:footnote w:id="764">
    <w:p w:rsidR="009A6BD2" w:rsidRDefault="003E2D0F">
      <w:pPr>
        <w:pStyle w:val="Testonotaapidipagina"/>
      </w:pPr>
      <w:r>
        <w:rPr>
          <w:rStyle w:val="Rimandonotaapidipagina"/>
        </w:rPr>
        <w:footnoteRef/>
      </w:r>
      <w:r>
        <w:t xml:space="preserve"> </w:t>
      </w:r>
      <w:r>
        <w:tab/>
        <w:t>HOWITT, Nat. Tr., p. 493.</w:t>
      </w:r>
    </w:p>
  </w:footnote>
  <w:footnote w:id="765">
    <w:p w:rsidR="009A6BD2" w:rsidRDefault="003E2D0F">
      <w:pPr>
        <w:pStyle w:val="Testonotaapidipagina"/>
      </w:pPr>
      <w:r>
        <w:rPr>
          <w:rStyle w:val="Rimandonotaapidipagina"/>
        </w:rPr>
        <w:footnoteRef/>
      </w:r>
      <w:r>
        <w:t xml:space="preserve"> </w:t>
      </w:r>
      <w:r>
        <w:tab/>
        <w:t>L. PARKER, The Euahlayi, p. 67, 62-66. C'est parce que le grand dieu est en étroits rapports avec le bull-roarer qu'il est identifié au tonnerre ; car le ronflement que fait entendre cet instrument rituel est as</w:t>
      </w:r>
      <w:r>
        <w:t>similé au roulement du tonnerre.</w:t>
      </w:r>
    </w:p>
  </w:footnote>
  <w:footnote w:id="766">
    <w:p w:rsidR="009A6BD2" w:rsidRDefault="003E2D0F">
      <w:pPr>
        <w:pStyle w:val="Testonotaapidipagina"/>
      </w:pPr>
      <w:r>
        <w:rPr>
          <w:rStyle w:val="Rimandonotaapidipagina"/>
        </w:rPr>
        <w:footnoteRef/>
      </w:r>
      <w:r>
        <w:t xml:space="preserve"> </w:t>
      </w:r>
      <w:r>
        <w:tab/>
        <w:t>HOWITT, Nat. Tr., p. 135. Le mot qui signifie totem est écrit par Howitt, thundung.</w:t>
      </w:r>
    </w:p>
  </w:footnote>
  <w:footnote w:id="767">
    <w:p w:rsidR="009A6BD2" w:rsidRDefault="003E2D0F">
      <w:pPr>
        <w:pStyle w:val="Testonotaapidipagina"/>
      </w:pPr>
      <w:r>
        <w:rPr>
          <w:rStyle w:val="Rimandonotaapidipagina"/>
        </w:rPr>
        <w:footnoteRef/>
      </w:r>
      <w:r>
        <w:t xml:space="preserve"> </w:t>
      </w:r>
      <w:r>
        <w:tab/>
        <w:t xml:space="preserve">STREHLOW, I, p. 1-2 et II, p. 59. On se rappelle que, très vraisemblablement, chez les Arunta, le totem maternel était primitivement </w:t>
      </w:r>
      <w:r>
        <w:t>le totem proprement dit.</w:t>
      </w:r>
    </w:p>
  </w:footnote>
  <w:footnote w:id="768">
    <w:p w:rsidR="009A6BD2" w:rsidRDefault="003E2D0F">
      <w:pPr>
        <w:pStyle w:val="Testonotaapidipagina"/>
      </w:pPr>
      <w:r>
        <w:rPr>
          <w:rStyle w:val="Rimandonotaapidipagina"/>
        </w:rPr>
        <w:footnoteRef/>
      </w:r>
      <w:r>
        <w:t xml:space="preserve"> </w:t>
      </w:r>
      <w:r>
        <w:tab/>
        <w:t>HOWITT, Nat. Tr., p. 555.</w:t>
      </w:r>
    </w:p>
  </w:footnote>
  <w:footnote w:id="769">
    <w:p w:rsidR="009A6BD2" w:rsidRDefault="003E2D0F">
      <w:pPr>
        <w:pStyle w:val="Testonotaapidipagina"/>
      </w:pPr>
      <w:r>
        <w:rPr>
          <w:rStyle w:val="Rimandonotaapidipagina"/>
        </w:rPr>
        <w:footnoteRef/>
      </w:r>
      <w:r>
        <w:t xml:space="preserve"> </w:t>
      </w:r>
      <w:r>
        <w:tab/>
        <w:t>Ibid., p. 546, 560.</w:t>
      </w:r>
    </w:p>
  </w:footnote>
  <w:footnote w:id="770">
    <w:p w:rsidR="009A6BD2" w:rsidRDefault="003E2D0F">
      <w:pPr>
        <w:pStyle w:val="Testonotaapidipagina"/>
      </w:pPr>
      <w:r>
        <w:rPr>
          <w:rStyle w:val="Rimandonotaapidipagina"/>
        </w:rPr>
        <w:footnoteRef/>
      </w:r>
      <w:r>
        <w:t xml:space="preserve"> </w:t>
      </w:r>
      <w:r>
        <w:tab/>
        <w:t>RIDLEY, Kamilaroi, p. 136, 156. Il est représenté sous cette forme dans les rites d'initiation chez les Kamilaroi. D'après une autre légende, il serait un cygne noir (L. PARKER</w:t>
      </w:r>
      <w:r>
        <w:t>, More Austral. Leg. Tales, p. 94).</w:t>
      </w:r>
    </w:p>
  </w:footnote>
  <w:footnote w:id="771">
    <w:p w:rsidR="009A6BD2" w:rsidRDefault="003E2D0F">
      <w:pPr>
        <w:pStyle w:val="Testonotaapidipagina"/>
      </w:pPr>
      <w:r>
        <w:rPr>
          <w:rStyle w:val="Rimandonotaapidipagina"/>
        </w:rPr>
        <w:footnoteRef/>
      </w:r>
      <w:r>
        <w:t xml:space="preserve"> </w:t>
      </w:r>
      <w:r>
        <w:tab/>
        <w:t>STREHLOW, I, p. 1.</w:t>
      </w:r>
    </w:p>
  </w:footnote>
  <w:footnote w:id="772">
    <w:p w:rsidR="009A6BD2" w:rsidRDefault="003E2D0F">
      <w:pPr>
        <w:pStyle w:val="Testonotaapidipagina"/>
      </w:pPr>
      <w:r>
        <w:rPr>
          <w:rStyle w:val="Rimandonotaapidipagina"/>
        </w:rPr>
        <w:footnoteRef/>
      </w:r>
      <w:r>
        <w:t xml:space="preserve"> </w:t>
      </w:r>
      <w:r>
        <w:tab/>
        <w:t>BROUGH SMYTH, I, pp. 423-424.</w:t>
      </w:r>
    </w:p>
  </w:footnote>
  <w:footnote w:id="773">
    <w:p w:rsidR="009A6BD2" w:rsidRDefault="003E2D0F">
      <w:pPr>
        <w:pStyle w:val="Testonotaapidipagina"/>
      </w:pPr>
      <w:r>
        <w:rPr>
          <w:rStyle w:val="Rimandonotaapidipagina"/>
        </w:rPr>
        <w:footnoteRef/>
      </w:r>
      <w:r>
        <w:t xml:space="preserve"> </w:t>
      </w:r>
      <w:r>
        <w:tab/>
        <w:t>Nat. Tr., p. 492.</w:t>
      </w:r>
    </w:p>
  </w:footnote>
  <w:footnote w:id="774">
    <w:p w:rsidR="009A6BD2" w:rsidRDefault="003E2D0F">
      <w:pPr>
        <w:pStyle w:val="Testonotaapidipagina"/>
      </w:pPr>
      <w:r>
        <w:rPr>
          <w:rStyle w:val="Rimandonotaapidipagina"/>
        </w:rPr>
        <w:footnoteRef/>
      </w:r>
      <w:r>
        <w:t xml:space="preserve"> </w:t>
      </w:r>
      <w:r>
        <w:tab/>
        <w:t>HOWITT, Nat. Tr., p. 128.</w:t>
      </w:r>
    </w:p>
  </w:footnote>
  <w:footnote w:id="775">
    <w:p w:rsidR="009A6BD2" w:rsidRDefault="003E2D0F">
      <w:pPr>
        <w:pStyle w:val="Testonotaapidipagina"/>
      </w:pPr>
      <w:r>
        <w:rPr>
          <w:rStyle w:val="Rimandonotaapidipagina"/>
        </w:rPr>
        <w:footnoteRef/>
      </w:r>
      <w:r>
        <w:t xml:space="preserve"> </w:t>
      </w:r>
      <w:r>
        <w:tab/>
        <w:t>BROUGH SMYTH, I, pp. 417-423.</w:t>
      </w:r>
    </w:p>
  </w:footnote>
  <w:footnote w:id="776">
    <w:p w:rsidR="009A6BD2" w:rsidRDefault="003E2D0F">
      <w:pPr>
        <w:pStyle w:val="Testonotaapidipagina"/>
      </w:pPr>
      <w:r>
        <w:rPr>
          <w:rStyle w:val="Rimandonotaapidipagina"/>
        </w:rPr>
        <w:footnoteRef/>
      </w:r>
      <w:r>
        <w:t xml:space="preserve"> </w:t>
      </w:r>
      <w:r>
        <w:tab/>
        <w:t>V. plus haut, p. 151.</w:t>
      </w:r>
    </w:p>
  </w:footnote>
  <w:footnote w:id="777">
    <w:p w:rsidR="009A6BD2" w:rsidRDefault="003E2D0F">
      <w:pPr>
        <w:pStyle w:val="Testonotaapidipagina"/>
      </w:pPr>
      <w:r>
        <w:rPr>
          <w:rStyle w:val="Rimandonotaapidipagina"/>
        </w:rPr>
        <w:footnoteRef/>
      </w:r>
      <w:r>
        <w:t xml:space="preserve"> </w:t>
      </w:r>
      <w:r>
        <w:tab/>
        <w:t>Ce sont les tribus où les phratries portent les noms d</w:t>
      </w:r>
      <w:r>
        <w:t>e Kilpara (Corbeau) et de Mukwara. C'est ce qui explique le mythe même rapporté par BROUGH SMYTH (I, pp. 423-424).</w:t>
      </w:r>
    </w:p>
  </w:footnote>
  <w:footnote w:id="778">
    <w:p w:rsidR="009A6BD2" w:rsidRDefault="003E2D0F">
      <w:pPr>
        <w:pStyle w:val="Testonotaapidipagina"/>
      </w:pPr>
      <w:r>
        <w:rPr>
          <w:rStyle w:val="Rimandonotaapidipagina"/>
        </w:rPr>
        <w:footnoteRef/>
      </w:r>
      <w:r>
        <w:t xml:space="preserve"> </w:t>
      </w:r>
      <w:r>
        <w:tab/>
        <w:t>BROUGH SMYTH, I, pp. 125-427. Cf. HOWITT, Nat. Tr., p. 486; dans ce dernier cas, Karween est identifié avec le héron bleu.</w:t>
      </w:r>
    </w:p>
  </w:footnote>
  <w:footnote w:id="779">
    <w:p w:rsidR="009A6BD2" w:rsidRDefault="003E2D0F">
      <w:pPr>
        <w:pStyle w:val="Testonotaapidipagina"/>
      </w:pPr>
      <w:r>
        <w:rPr>
          <w:rStyle w:val="Rimandonotaapidipagina"/>
        </w:rPr>
        <w:footnoteRef/>
      </w:r>
      <w:r>
        <w:t xml:space="preserve"> </w:t>
      </w:r>
      <w:r>
        <w:tab/>
        <w:t>BROUGH SMYTH</w:t>
      </w:r>
      <w:r>
        <w:t>, I, p. 423.</w:t>
      </w:r>
    </w:p>
  </w:footnote>
  <w:footnote w:id="780">
    <w:p w:rsidR="009A6BD2" w:rsidRDefault="003E2D0F">
      <w:pPr>
        <w:pStyle w:val="Testonotaapidipagina"/>
      </w:pPr>
      <w:r>
        <w:rPr>
          <w:rStyle w:val="Rimandonotaapidipagina"/>
        </w:rPr>
        <w:footnoteRef/>
      </w:r>
      <w:r>
        <w:t xml:space="preserve"> </w:t>
      </w:r>
      <w:r>
        <w:tab/>
        <w:t>RIDLEY, Kamilaroi, p. 136; HOWITT, Nat. Tr., p. 585; MATHEWS, J. of R. S. of N. S. Wales, XXVIII (1894), p. 111.</w:t>
      </w:r>
    </w:p>
  </w:footnote>
  <w:footnote w:id="781">
    <w:p w:rsidR="009A6BD2" w:rsidRDefault="003E2D0F">
      <w:pPr>
        <w:pStyle w:val="Testonotaapidipagina"/>
      </w:pPr>
      <w:r>
        <w:rPr>
          <w:rStyle w:val="Rimandonotaapidipagina"/>
        </w:rPr>
        <w:footnoteRef/>
      </w:r>
      <w:r>
        <w:t xml:space="preserve"> </w:t>
      </w:r>
      <w:r>
        <w:tab/>
        <w:t>V. plus haut, p. 207. Cf. P. SCHMIDT, L'origine de l'idée de Dieu, in Anthropos, 1909.</w:t>
      </w:r>
    </w:p>
  </w:footnote>
  <w:footnote w:id="782">
    <w:p w:rsidR="009A6BD2" w:rsidRDefault="003E2D0F">
      <w:pPr>
        <w:pStyle w:val="Testonotaapidipagina"/>
      </w:pPr>
      <w:r>
        <w:rPr>
          <w:rStyle w:val="Rimandonotaapidipagina"/>
        </w:rPr>
        <w:footnoteRef/>
      </w:r>
      <w:r>
        <w:t xml:space="preserve"> </w:t>
      </w:r>
      <w:r>
        <w:tab/>
        <w:t>Op. cit., p. 7. Chez le même peupl</w:t>
      </w:r>
      <w:r>
        <w:t>e, la femme principale de Baiame est également représentée comme la mère de tous les totems, sans être elle-même d'aucun totem (ibid., p. 7 et 78).</w:t>
      </w:r>
    </w:p>
  </w:footnote>
  <w:footnote w:id="783">
    <w:p w:rsidR="009A6BD2" w:rsidRDefault="003E2D0F">
      <w:pPr>
        <w:pStyle w:val="Testonotaapidipagina"/>
      </w:pPr>
      <w:r>
        <w:rPr>
          <w:rStyle w:val="Rimandonotaapidipagina"/>
        </w:rPr>
        <w:footnoteRef/>
      </w:r>
      <w:r>
        <w:t xml:space="preserve"> </w:t>
      </w:r>
      <w:r>
        <w:tab/>
        <w:t>V. HOWITT, Nat. Tr., pp. 511</w:t>
      </w:r>
      <w:r>
        <w:noBreakHyphen/>
        <w:t>512, 513, 602 et suiv.; MATHEWS, J. of R. S. of N. S. Wales, XXXVIII, p. 270</w:t>
      </w:r>
      <w:r>
        <w:t>. On invite aux fêtes de l'initiation non seulement les tribus avec lesquelles un connubium régulier est établi, mais aussi celles avec lesquelles on a des querelles à régler ; des vendetta, à demi cérémonielles et à demi sérieuses, ont lieu dans ces occas</w:t>
      </w:r>
      <w:r>
        <w:t>ions.</w:t>
      </w:r>
    </w:p>
  </w:footnote>
  <w:footnote w:id="784">
    <w:p w:rsidR="009A6BD2" w:rsidRDefault="003E2D0F">
      <w:pPr>
        <w:pStyle w:val="Testonotaapidipagina"/>
      </w:pPr>
      <w:r>
        <w:rPr>
          <w:rStyle w:val="Rimandonotaapidipagina"/>
        </w:rPr>
        <w:footnoteRef/>
      </w:r>
      <w:r>
        <w:t xml:space="preserve"> </w:t>
      </w:r>
      <w:r>
        <w:tab/>
        <w:t>V. plus haut pp. 221</w:t>
      </w:r>
      <w:r>
        <w:noBreakHyphen/>
        <w:t>222.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BD2" w:rsidRDefault="003E2D0F">
    <w:pPr>
      <w:pStyle w:val="Intestazione"/>
      <w:tabs>
        <w:tab w:val="clear" w:pos="4320"/>
        <w:tab w:val="clear" w:pos="8640"/>
        <w:tab w:val="right" w:pos="8280"/>
        <w:tab w:val="right" w:pos="9000"/>
      </w:tabs>
      <w:ind w:firstLine="0"/>
      <w:rPr>
        <w:rFonts w:ascii="Times" w:hAnsi="Times" w:cs="Times"/>
      </w:rPr>
    </w:pPr>
    <w:r>
      <w:rPr>
        <w:rFonts w:ascii="Times" w:hAnsi="Times" w:cs="Times"/>
      </w:rPr>
      <w:tab/>
      <w:t>Émile Durkheim , Les formes élémentaires de la vie religieuse : livre deuxième</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Pr>
        <w:rStyle w:val="Numeropagina"/>
        <w:rFonts w:ascii="Times" w:hAnsi="Times" w:cs="Times"/>
        <w:noProof/>
      </w:rPr>
      <w:t>278</w:t>
    </w:r>
    <w:r>
      <w:rPr>
        <w:rStyle w:val="Numeropagina"/>
        <w:rFonts w:ascii="Times" w:hAnsi="Times" w:cs="Times"/>
      </w:rPr>
      <w:fldChar w:fldCharType="end"/>
    </w:r>
  </w:p>
  <w:p w:rsidR="009A6BD2" w:rsidRDefault="003E2D0F">
    <w:pPr>
      <w:pBdr>
        <w:top w:val="single" w:sz="4" w:space="1" w:color="auto"/>
      </w:pBdr>
      <w:spacing w:before="60"/>
      <w:rPr>
        <w:rStyle w:val="Numeropagina"/>
        <w:rFonts w:ascii="Times" w:hAnsi="Times" w:cs="Times"/>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BD2"/>
    <w:rsid w:val="003E2D0F"/>
    <w:rsid w:val="008C3D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B2DE58-51BA-7848-BAC1-05DC6142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AGaramond" w:hAnsi="AGaramond" w:cs="AGaramond"/>
      <w:sz w:val="24"/>
      <w:szCs w:val="24"/>
      <w:lang w:val="fr-CA" w:eastAsia="fr-FR" w:bidi="en-US"/>
    </w:rPr>
  </w:style>
  <w:style w:type="paragraph" w:styleId="Titolo1">
    <w:name w:val="heading 1"/>
    <w:basedOn w:val="Normale"/>
    <w:next w:val="Normale"/>
    <w:qFormat/>
    <w:pPr>
      <w:ind w:firstLine="0"/>
      <w:outlineLvl w:val="0"/>
    </w:pPr>
    <w:rPr>
      <w:rFonts w:ascii="Times" w:hAnsi="Times" w:cs="Times"/>
      <w:noProof/>
      <w:sz w:val="20"/>
      <w:szCs w:val="20"/>
      <w:lang w:val="fr-FR"/>
    </w:rPr>
  </w:style>
  <w:style w:type="paragraph" w:styleId="Titolo2">
    <w:name w:val="heading 2"/>
    <w:basedOn w:val="Normale"/>
    <w:next w:val="Normale"/>
    <w:qFormat/>
    <w:pPr>
      <w:ind w:firstLine="0"/>
      <w:outlineLvl w:val="1"/>
    </w:pPr>
    <w:rPr>
      <w:rFonts w:ascii="Times" w:hAnsi="Times" w:cs="Times"/>
      <w:noProof/>
      <w:sz w:val="20"/>
      <w:szCs w:val="20"/>
      <w:lang w:val="fr-FR"/>
    </w:rPr>
  </w:style>
  <w:style w:type="paragraph" w:styleId="Titolo3">
    <w:name w:val="heading 3"/>
    <w:basedOn w:val="Normale"/>
    <w:next w:val="Normale"/>
    <w:qFormat/>
    <w:pPr>
      <w:ind w:firstLine="0"/>
      <w:outlineLvl w:val="2"/>
    </w:pPr>
    <w:rPr>
      <w:rFonts w:ascii="Times" w:hAnsi="Times" w:cs="Times"/>
      <w:noProof/>
      <w:sz w:val="20"/>
      <w:szCs w:val="20"/>
      <w:lang w:val="fr-FR"/>
    </w:rPr>
  </w:style>
  <w:style w:type="paragraph" w:styleId="Titolo4">
    <w:name w:val="heading 4"/>
    <w:basedOn w:val="Normale"/>
    <w:next w:val="Normale"/>
    <w:qFormat/>
    <w:pPr>
      <w:ind w:firstLine="0"/>
      <w:outlineLvl w:val="3"/>
    </w:pPr>
    <w:rPr>
      <w:rFonts w:ascii="Times" w:hAnsi="Times" w:cs="Times"/>
      <w:noProof/>
      <w:sz w:val="20"/>
      <w:szCs w:val="20"/>
      <w:lang w:val="fr-FR"/>
    </w:rPr>
  </w:style>
  <w:style w:type="paragraph" w:styleId="Titolo5">
    <w:name w:val="heading 5"/>
    <w:basedOn w:val="Normale"/>
    <w:next w:val="Normale"/>
    <w:qFormat/>
    <w:pPr>
      <w:ind w:firstLine="0"/>
      <w:outlineLvl w:val="4"/>
    </w:pPr>
    <w:rPr>
      <w:rFonts w:ascii="Times" w:hAnsi="Times" w:cs="Times"/>
      <w:noProof/>
      <w:sz w:val="20"/>
      <w:szCs w:val="20"/>
      <w:lang w:val="fr-FR"/>
    </w:rPr>
  </w:style>
  <w:style w:type="paragraph" w:styleId="Titolo6">
    <w:name w:val="heading 6"/>
    <w:basedOn w:val="Normale"/>
    <w:next w:val="Normale"/>
    <w:qFormat/>
    <w:pPr>
      <w:ind w:firstLine="0"/>
      <w:outlineLvl w:val="5"/>
    </w:pPr>
    <w:rPr>
      <w:rFonts w:ascii="Times" w:hAnsi="Times" w:cs="Times"/>
      <w:noProof/>
      <w:sz w:val="20"/>
      <w:szCs w:val="20"/>
      <w:lang w:val="fr-FR"/>
    </w:rPr>
  </w:style>
  <w:style w:type="paragraph" w:styleId="Titolo7">
    <w:name w:val="heading 7"/>
    <w:basedOn w:val="Normale"/>
    <w:next w:val="Normale"/>
    <w:qFormat/>
    <w:pPr>
      <w:ind w:firstLine="0"/>
      <w:outlineLvl w:val="6"/>
    </w:pPr>
    <w:rPr>
      <w:rFonts w:ascii="Times" w:hAnsi="Times" w:cs="Times"/>
      <w:noProof/>
      <w:sz w:val="20"/>
      <w:szCs w:val="20"/>
      <w:lang w:val="fr-FR"/>
    </w:rPr>
  </w:style>
  <w:style w:type="paragraph" w:styleId="Titolo8">
    <w:name w:val="heading 8"/>
    <w:basedOn w:val="Normale"/>
    <w:next w:val="Normale"/>
    <w:qFormat/>
    <w:pPr>
      <w:ind w:firstLine="0"/>
      <w:outlineLvl w:val="7"/>
    </w:pPr>
    <w:rPr>
      <w:rFonts w:ascii="Times" w:hAnsi="Times" w:cs="Times"/>
      <w:noProof/>
      <w:sz w:val="20"/>
      <w:szCs w:val="20"/>
      <w:lang w:val="fr-FR"/>
    </w:rPr>
  </w:style>
  <w:style w:type="paragraph" w:styleId="Titolo9">
    <w:name w:val="heading 9"/>
    <w:basedOn w:val="Normale"/>
    <w:next w:val="Normale"/>
    <w:qFormat/>
    <w:pPr>
      <w:ind w:firstLine="0"/>
      <w:outlineLvl w:val="8"/>
    </w:pPr>
    <w:rPr>
      <w:rFonts w:ascii="Times" w:hAnsi="Times" w:cs="Times"/>
      <w:noProof/>
      <w:sz w:val="20"/>
      <w:szCs w:val="20"/>
      <w:lang w:val="fr-FR"/>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semiHidden/>
    <w:rPr>
      <w:color w:val="FF0000"/>
      <w:position w:val="6"/>
      <w:sz w:val="16"/>
      <w:szCs w:val="16"/>
    </w:rPr>
  </w:style>
  <w:style w:type="paragraph" w:customStyle="1" w:styleId="Citation">
    <w:name w:val="Citation"/>
    <w:basedOn w:val="Normale"/>
    <w:pPr>
      <w:ind w:left="720"/>
      <w:jc w:val="both"/>
    </w:pPr>
    <w:rPr>
      <w:sz w:val="20"/>
      <w:szCs w:val="20"/>
    </w:rPr>
  </w:style>
  <w:style w:type="paragraph" w:customStyle="1" w:styleId="Niveau1">
    <w:name w:val="Niveau 1"/>
    <w:basedOn w:val="Normale"/>
    <w:pPr>
      <w:ind w:firstLine="0"/>
    </w:pPr>
    <w:rPr>
      <w:rFonts w:ascii="Times" w:hAnsi="Times" w:cs="Times"/>
      <w:b/>
      <w:bCs/>
      <w:color w:val="FF0000"/>
      <w:sz w:val="72"/>
      <w:szCs w:val="72"/>
    </w:rPr>
  </w:style>
  <w:style w:type="paragraph" w:customStyle="1" w:styleId="Niveau11">
    <w:name w:val="Niveau 1.1"/>
    <w:basedOn w:val="Niveau1"/>
    <w:rPr>
      <w:color w:val="008000"/>
      <w:sz w:val="60"/>
      <w:szCs w:val="60"/>
    </w:rPr>
  </w:style>
  <w:style w:type="paragraph" w:customStyle="1" w:styleId="Niveau12">
    <w:name w:val="Niveau 1.2"/>
    <w:basedOn w:val="Niveau11"/>
    <w:pPr>
      <w:ind w:left="360" w:hanging="360"/>
    </w:pPr>
    <w:rPr>
      <w:i/>
      <w:iCs/>
      <w:color w:val="000080"/>
      <w:sz w:val="28"/>
      <w:szCs w:val="28"/>
    </w:rPr>
  </w:style>
  <w:style w:type="paragraph" w:customStyle="1" w:styleId="Niveau2">
    <w:name w:val="Niveau 2"/>
    <w:basedOn w:val="Normale"/>
    <w:rPr>
      <w:rFonts w:ascii="GillSans" w:hAnsi="GillSans" w:cs="GillSans"/>
      <w:sz w:val="20"/>
      <w:szCs w:val="20"/>
    </w:rPr>
  </w:style>
  <w:style w:type="paragraph" w:customStyle="1" w:styleId="Niveau3">
    <w:name w:val="Niveau 3"/>
    <w:basedOn w:val="Normale"/>
    <w:pPr>
      <w:ind w:left="720" w:hanging="360"/>
    </w:pPr>
    <w:rPr>
      <w:rFonts w:ascii="BI Times BoldItalic" w:hAnsi="BI Times BoldItalic" w:cs="BI Times BoldItalic"/>
    </w:rPr>
  </w:style>
  <w:style w:type="paragraph" w:customStyle="1" w:styleId="Titreniveau1">
    <w:name w:val="Titre niveau 1"/>
    <w:basedOn w:val="Niveau1"/>
    <w:pPr>
      <w:pBdr>
        <w:bottom w:val="single" w:sz="4" w:space="1" w:color="auto"/>
      </w:pBdr>
      <w:ind w:right="1980"/>
    </w:pPr>
    <w:rPr>
      <w:sz w:val="60"/>
      <w:szCs w:val="60"/>
    </w:rPr>
  </w:style>
  <w:style w:type="paragraph" w:customStyle="1" w:styleId="Titreniveau2">
    <w:name w:val="Titre niveau 2"/>
    <w:basedOn w:val="Titreniveau1"/>
    <w:pPr>
      <w:widowControl w:val="0"/>
      <w:pBdr>
        <w:bottom w:val="none" w:sz="0" w:space="0" w:color="auto"/>
      </w:pBdr>
      <w:ind w:right="0"/>
    </w:pPr>
    <w:rPr>
      <w:color w:val="800000"/>
      <w:sz w:val="48"/>
      <w:szCs w:val="48"/>
    </w:rPr>
  </w:style>
  <w:style w:type="paragraph" w:styleId="Corpotesto">
    <w:name w:val="Body Text"/>
    <w:basedOn w:val="Normale"/>
    <w:pPr>
      <w:spacing w:before="360" w:after="240"/>
      <w:ind w:firstLine="0"/>
      <w:jc w:val="center"/>
    </w:pPr>
    <w:rPr>
      <w:rFonts w:ascii="Times" w:hAnsi="Times" w:cs="Times"/>
      <w:sz w:val="72"/>
      <w:szCs w:val="72"/>
    </w:rPr>
  </w:style>
  <w:style w:type="paragraph" w:styleId="Corpodeltesto2">
    <w:name w:val="Body Text 2"/>
    <w:basedOn w:val="Normale"/>
    <w:pPr>
      <w:ind w:left="20" w:firstLine="400"/>
    </w:pPr>
    <w:rPr>
      <w:rFonts w:ascii="Arial" w:hAnsi="Arial" w:cs="Arial"/>
    </w:rPr>
  </w:style>
  <w:style w:type="paragraph" w:styleId="Corpodeltesto3">
    <w:name w:val="Body Text 3"/>
    <w:basedOn w:val="Normale"/>
    <w:pPr>
      <w:tabs>
        <w:tab w:val="left" w:pos="510"/>
      </w:tabs>
      <w:ind w:firstLine="0"/>
      <w:jc w:val="both"/>
    </w:pPr>
    <w:rPr>
      <w:rFonts w:ascii="Arial" w:hAnsi="Arial" w:cs="Arial"/>
      <w:sz w:val="20"/>
      <w:szCs w:val="20"/>
    </w:rPr>
  </w:style>
  <w:style w:type="paragraph" w:styleId="Intestazione">
    <w:name w:val="header"/>
    <w:basedOn w:val="Normale"/>
    <w:pPr>
      <w:tabs>
        <w:tab w:val="center" w:pos="4320"/>
        <w:tab w:val="right" w:pos="8640"/>
      </w:tabs>
    </w:pPr>
    <w:rPr>
      <w:rFonts w:ascii="GillSans" w:hAnsi="GillSans" w:cs="GillSans"/>
      <w:sz w:val="20"/>
      <w:szCs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cs="GillSans"/>
      <w:b/>
      <w:bCs/>
      <w:sz w:val="20"/>
      <w:szCs w:val="20"/>
    </w:rPr>
  </w:style>
  <w:style w:type="character" w:styleId="Collegamentoipertestuale">
    <w:name w:val="Hyperlink"/>
    <w:basedOn w:val="Carpredefinitoparagrafo"/>
    <w:rPr>
      <w:color w:val="0000FF"/>
      <w:u w:val="single"/>
    </w:rPr>
  </w:style>
  <w:style w:type="character" w:styleId="Collegamentovisitato">
    <w:name w:val="FollowedHyperlink"/>
    <w:basedOn w:val="Carpredefinitoparagrafo"/>
    <w:rPr>
      <w:color w:val="800080"/>
      <w:u w:val="single"/>
    </w:rPr>
  </w:style>
  <w:style w:type="paragraph" w:customStyle="1" w:styleId="Niveau10">
    <w:name w:val="Niveau 1.0"/>
    <w:basedOn w:val="Niveau11"/>
    <w:rPr>
      <w:sz w:val="48"/>
      <w:szCs w:val="48"/>
    </w:rPr>
  </w:style>
  <w:style w:type="paragraph" w:customStyle="1" w:styleId="Niveau13">
    <w:name w:val="Niveau 1.3"/>
    <w:basedOn w:val="Niveau12"/>
    <w:pPr>
      <w:ind w:left="0" w:firstLine="0"/>
      <w:jc w:val="center"/>
    </w:pPr>
    <w:rPr>
      <w:i w:val="0"/>
      <w:iCs w:val="0"/>
      <w:color w:val="800080"/>
      <w:sz w:val="48"/>
      <w:szCs w:val="48"/>
    </w:rPr>
  </w:style>
  <w:style w:type="paragraph" w:styleId="Testonotaapidipagina">
    <w:name w:val="footnote text"/>
    <w:basedOn w:val="Normale"/>
    <w:autoRedefine/>
    <w:semiHidden/>
    <w:rsid w:val="009A6BD2"/>
    <w:pPr>
      <w:ind w:left="360" w:hanging="360"/>
      <w:jc w:val="both"/>
    </w:pPr>
    <w:rPr>
      <w:rFonts w:ascii="Times New Roman" w:hAnsi="Times New Roman" w:cs="Times"/>
      <w:color w:val="000000"/>
      <w:sz w:val="20"/>
      <w:szCs w:val="20"/>
    </w:rPr>
  </w:style>
  <w:style w:type="character" w:styleId="Numeropagina">
    <w:name w:val="page number"/>
    <w:basedOn w:val="Carpredefinitoparagrafo"/>
  </w:style>
  <w:style w:type="paragraph" w:styleId="Pidipagina">
    <w:name w:val="footer"/>
    <w:basedOn w:val="Normale"/>
    <w:semiHidden/>
    <w:pPr>
      <w:tabs>
        <w:tab w:val="center" w:pos="4320"/>
        <w:tab w:val="right" w:pos="8640"/>
      </w:tabs>
    </w:pPr>
    <w:rPr>
      <w:rFonts w:ascii="GillSans" w:hAnsi="GillSans" w:cs="GillSans"/>
      <w:sz w:val="20"/>
      <w:szCs w:val="20"/>
    </w:rPr>
  </w:style>
  <w:style w:type="paragraph" w:styleId="Rientrocorpodeltesto2">
    <w:name w:val="Body Text Indent 2"/>
    <w:basedOn w:val="Normale"/>
    <w:pPr>
      <w:tabs>
        <w:tab w:val="left" w:pos="840"/>
        <w:tab w:val="right" w:pos="9360"/>
      </w:tabs>
      <w:ind w:left="20"/>
      <w:jc w:val="both"/>
    </w:pPr>
    <w:rPr>
      <w:rFonts w:ascii="Arial" w:hAnsi="Arial" w:cs="Arial"/>
    </w:rPr>
  </w:style>
  <w:style w:type="paragraph" w:styleId="Rientrocorpodeltesto3">
    <w:name w:val="Body Text Indent 3"/>
    <w:basedOn w:val="Normale"/>
    <w:pPr>
      <w:ind w:left="20" w:firstLine="380"/>
      <w:jc w:val="both"/>
    </w:pPr>
    <w:rPr>
      <w:rFonts w:ascii="Arial" w:hAnsi="Arial" w:cs="Arial"/>
    </w:rPr>
  </w:style>
  <w:style w:type="paragraph" w:customStyle="1" w:styleId="texteenvidence">
    <w:name w:val="texte en évidence"/>
    <w:basedOn w:val="Normale"/>
    <w:pPr>
      <w:widowControl w:val="0"/>
      <w:jc w:val="both"/>
    </w:pPr>
    <w:rPr>
      <w:rFonts w:ascii="Arial" w:hAnsi="Arial" w:cs="Arial"/>
      <w:b/>
      <w:bCs/>
      <w:color w:val="FF0000"/>
    </w:rPr>
  </w:style>
  <w:style w:type="paragraph" w:styleId="Titolo">
    <w:name w:val="Title"/>
    <w:basedOn w:val="Normale"/>
    <w:qFormat/>
    <w:pPr>
      <w:ind w:firstLine="0"/>
      <w:jc w:val="center"/>
    </w:pPr>
    <w:rPr>
      <w:rFonts w:ascii="B Times Bold" w:hAnsi="B Times Bold" w:cs="B Times Bold"/>
      <w:sz w:val="72"/>
      <w:szCs w:val="72"/>
    </w:rPr>
  </w:style>
  <w:style w:type="paragraph" w:customStyle="1" w:styleId="livre">
    <w:name w:val="livre"/>
    <w:basedOn w:val="Normale"/>
    <w:pPr>
      <w:tabs>
        <w:tab w:val="right" w:pos="9360"/>
      </w:tabs>
      <w:ind w:firstLine="0"/>
    </w:pPr>
    <w:rPr>
      <w:rFonts w:ascii="Times" w:hAnsi="Times" w:cs="Times"/>
      <w:b/>
      <w:bCs/>
      <w:color w:val="000080"/>
      <w:sz w:val="144"/>
      <w:szCs w:val="144"/>
    </w:rPr>
  </w:style>
  <w:style w:type="paragraph" w:customStyle="1" w:styleId="livrest">
    <w:name w:val="livre_st"/>
    <w:basedOn w:val="Normale"/>
    <w:pPr>
      <w:tabs>
        <w:tab w:val="right" w:pos="9360"/>
      </w:tabs>
      <w:ind w:firstLine="0"/>
    </w:pPr>
    <w:rPr>
      <w:rFonts w:ascii="Times" w:hAnsi="Times" w:cs="Times"/>
      <w:b/>
      <w:bCs/>
      <w:color w:val="FF0000"/>
      <w:sz w:val="72"/>
      <w:szCs w:val="72"/>
    </w:rPr>
  </w:style>
  <w:style w:type="paragraph" w:customStyle="1" w:styleId="tableautitre">
    <w:name w:val="tableau_titre"/>
    <w:basedOn w:val="Normale"/>
    <w:pPr>
      <w:ind w:firstLine="0"/>
      <w:jc w:val="center"/>
    </w:pPr>
    <w:rPr>
      <w:rFonts w:ascii="Times" w:hAnsi="Times" w:cs="Times"/>
      <w:b/>
      <w:bCs/>
    </w:rPr>
  </w:style>
  <w:style w:type="paragraph" w:customStyle="1" w:styleId="planche">
    <w:name w:val="planche"/>
    <w:basedOn w:val="tableautitre"/>
    <w:rPr>
      <w:sz w:val="36"/>
      <w:szCs w:val="36"/>
    </w:rPr>
  </w:style>
  <w:style w:type="paragraph" w:customStyle="1" w:styleId="tableaust">
    <w:name w:val="tableau_st"/>
    <w:basedOn w:val="Normale"/>
    <w:pPr>
      <w:ind w:firstLine="0"/>
      <w:jc w:val="center"/>
    </w:pPr>
    <w:rPr>
      <w:rFonts w:ascii="Times" w:hAnsi="Times" w:cs="Times"/>
      <w:i/>
      <w:iCs/>
      <w:color w:val="FF0000"/>
    </w:rPr>
  </w:style>
  <w:style w:type="paragraph" w:customStyle="1" w:styleId="planchest">
    <w:name w:val="planche_st"/>
    <w:basedOn w:val="tableaust"/>
    <w:rPr>
      <w:sz w:val="36"/>
      <w:szCs w:val="36"/>
    </w:rPr>
  </w:style>
  <w:style w:type="paragraph" w:customStyle="1" w:styleId="section">
    <w:name w:val="section"/>
    <w:basedOn w:val="Normale"/>
    <w:pPr>
      <w:ind w:firstLine="0"/>
      <w:jc w:val="center"/>
    </w:pPr>
    <w:rPr>
      <w:rFonts w:ascii="Times" w:hAnsi="Times" w:cs="Times"/>
      <w:b/>
      <w:bCs/>
      <w:sz w:val="48"/>
      <w:szCs w:val="48"/>
    </w:rPr>
  </w:style>
  <w:style w:type="paragraph" w:customStyle="1" w:styleId="suite">
    <w:name w:val="suite"/>
    <w:basedOn w:val="Normale"/>
    <w:pPr>
      <w:tabs>
        <w:tab w:val="right" w:pos="9360"/>
      </w:tabs>
      <w:ind w:firstLine="0"/>
      <w:jc w:val="center"/>
    </w:pPr>
    <w:rPr>
      <w:rFonts w:ascii="Times" w:hAnsi="Times" w:cs="Times"/>
      <w:b/>
      <w:bCs/>
      <w:sz w:val="28"/>
      <w:szCs w:val="28"/>
    </w:rPr>
  </w:style>
  <w:style w:type="paragraph" w:customStyle="1" w:styleId="tdmchap">
    <w:name w:val="tdm_chap"/>
    <w:basedOn w:val="Normale"/>
    <w:pPr>
      <w:tabs>
        <w:tab w:val="left" w:pos="1980"/>
      </w:tabs>
      <w:ind w:firstLine="0"/>
    </w:pPr>
    <w:rPr>
      <w:rFonts w:ascii="Times" w:hAnsi="Times" w:cs="Times"/>
      <w:b/>
      <w:bCs/>
    </w:rPr>
  </w:style>
  <w:style w:type="paragraph" w:styleId="Testofumetto">
    <w:name w:val="Balloon Text"/>
    <w:basedOn w:val="Normale"/>
    <w:link w:val="TestofumettoCarattere"/>
    <w:uiPriority w:val="99"/>
    <w:semiHidden/>
    <w:unhideWhenUsed/>
    <w:rsid w:val="008C3DF1"/>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8C3DF1"/>
    <w:rPr>
      <w:sz w:val="18"/>
      <w:szCs w:val="18"/>
      <w:lang w:val="fr-CA" w:eastAsia="fr-F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bibliotheque.uqac.ca/"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classiques.uqac.c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ges.infinit.net/sociojmt"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mailto:bertrand.gibier@ac-lille.fr"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69947</Words>
  <Characters>398703</Characters>
  <Application>Microsoft Office Word</Application>
  <DocSecurity>0</DocSecurity>
  <Lines>3322</Lines>
  <Paragraphs>935</Paragraphs>
  <ScaleCrop>false</ScaleCrop>
  <HeadingPairs>
    <vt:vector size="2" baseType="variant">
      <vt:variant>
        <vt:lpstr>Title</vt:lpstr>
      </vt:variant>
      <vt:variant>
        <vt:i4>1</vt:i4>
      </vt:variant>
    </vt:vector>
  </HeadingPairs>
  <TitlesOfParts>
    <vt:vector size="1" baseType="lpstr">
      <vt:lpstr>Les formes élémentaires de la vie religieuse. Livre II.</vt:lpstr>
    </vt:vector>
  </TitlesOfParts>
  <Manager>Jean-Marie Tremblay, bénévole</Manager>
  <Company>Revu et corrigé, ajout des mots grecs manquants par Bertrand Gibier, bénévole.</Company>
  <LinksUpToDate>false</LinksUpToDate>
  <CharactersWithSpaces>467715</CharactersWithSpaces>
  <SharedDoc>false</SharedDoc>
  <HyperlinkBase/>
  <HLinks>
    <vt:vector size="546" baseType="variant">
      <vt:variant>
        <vt:i4>983062</vt:i4>
      </vt:variant>
      <vt:variant>
        <vt:i4>267</vt:i4>
      </vt:variant>
      <vt:variant>
        <vt:i4>0</vt:i4>
      </vt:variant>
      <vt:variant>
        <vt:i4>5</vt:i4>
      </vt:variant>
      <vt:variant>
        <vt:lpwstr/>
      </vt:variant>
      <vt:variant>
        <vt:lpwstr>tdm_livre_II</vt:lpwstr>
      </vt:variant>
      <vt:variant>
        <vt:i4>983062</vt:i4>
      </vt:variant>
      <vt:variant>
        <vt:i4>264</vt:i4>
      </vt:variant>
      <vt:variant>
        <vt:i4>0</vt:i4>
      </vt:variant>
      <vt:variant>
        <vt:i4>5</vt:i4>
      </vt:variant>
      <vt:variant>
        <vt:lpwstr/>
      </vt:variant>
      <vt:variant>
        <vt:lpwstr>tdm_livre_II</vt:lpwstr>
      </vt:variant>
      <vt:variant>
        <vt:i4>983062</vt:i4>
      </vt:variant>
      <vt:variant>
        <vt:i4>261</vt:i4>
      </vt:variant>
      <vt:variant>
        <vt:i4>0</vt:i4>
      </vt:variant>
      <vt:variant>
        <vt:i4>5</vt:i4>
      </vt:variant>
      <vt:variant>
        <vt:lpwstr/>
      </vt:variant>
      <vt:variant>
        <vt:lpwstr>tdm_livre_II</vt:lpwstr>
      </vt:variant>
      <vt:variant>
        <vt:i4>983062</vt:i4>
      </vt:variant>
      <vt:variant>
        <vt:i4>258</vt:i4>
      </vt:variant>
      <vt:variant>
        <vt:i4>0</vt:i4>
      </vt:variant>
      <vt:variant>
        <vt:i4>5</vt:i4>
      </vt:variant>
      <vt:variant>
        <vt:lpwstr/>
      </vt:variant>
      <vt:variant>
        <vt:lpwstr>tdm_livre_II</vt:lpwstr>
      </vt:variant>
      <vt:variant>
        <vt:i4>983062</vt:i4>
      </vt:variant>
      <vt:variant>
        <vt:i4>255</vt:i4>
      </vt:variant>
      <vt:variant>
        <vt:i4>0</vt:i4>
      </vt:variant>
      <vt:variant>
        <vt:i4>5</vt:i4>
      </vt:variant>
      <vt:variant>
        <vt:lpwstr/>
      </vt:variant>
      <vt:variant>
        <vt:lpwstr>tdm_livre_II</vt:lpwstr>
      </vt:variant>
      <vt:variant>
        <vt:i4>983062</vt:i4>
      </vt:variant>
      <vt:variant>
        <vt:i4>252</vt:i4>
      </vt:variant>
      <vt:variant>
        <vt:i4>0</vt:i4>
      </vt:variant>
      <vt:variant>
        <vt:i4>5</vt:i4>
      </vt:variant>
      <vt:variant>
        <vt:lpwstr/>
      </vt:variant>
      <vt:variant>
        <vt:lpwstr>tdm_livre_II</vt:lpwstr>
      </vt:variant>
      <vt:variant>
        <vt:i4>983062</vt:i4>
      </vt:variant>
      <vt:variant>
        <vt:i4>249</vt:i4>
      </vt:variant>
      <vt:variant>
        <vt:i4>0</vt:i4>
      </vt:variant>
      <vt:variant>
        <vt:i4>5</vt:i4>
      </vt:variant>
      <vt:variant>
        <vt:lpwstr/>
      </vt:variant>
      <vt:variant>
        <vt:lpwstr>tdm_livre_II</vt:lpwstr>
      </vt:variant>
      <vt:variant>
        <vt:i4>983062</vt:i4>
      </vt:variant>
      <vt:variant>
        <vt:i4>246</vt:i4>
      </vt:variant>
      <vt:variant>
        <vt:i4>0</vt:i4>
      </vt:variant>
      <vt:variant>
        <vt:i4>5</vt:i4>
      </vt:variant>
      <vt:variant>
        <vt:lpwstr/>
      </vt:variant>
      <vt:variant>
        <vt:lpwstr>tdm_livre_II</vt:lpwstr>
      </vt:variant>
      <vt:variant>
        <vt:i4>983062</vt:i4>
      </vt:variant>
      <vt:variant>
        <vt:i4>243</vt:i4>
      </vt:variant>
      <vt:variant>
        <vt:i4>0</vt:i4>
      </vt:variant>
      <vt:variant>
        <vt:i4>5</vt:i4>
      </vt:variant>
      <vt:variant>
        <vt:lpwstr/>
      </vt:variant>
      <vt:variant>
        <vt:lpwstr>tdm_livre_II</vt:lpwstr>
      </vt:variant>
      <vt:variant>
        <vt:i4>983062</vt:i4>
      </vt:variant>
      <vt:variant>
        <vt:i4>240</vt:i4>
      </vt:variant>
      <vt:variant>
        <vt:i4>0</vt:i4>
      </vt:variant>
      <vt:variant>
        <vt:i4>5</vt:i4>
      </vt:variant>
      <vt:variant>
        <vt:lpwstr/>
      </vt:variant>
      <vt:variant>
        <vt:lpwstr>tdm_livre_II</vt:lpwstr>
      </vt:variant>
      <vt:variant>
        <vt:i4>983062</vt:i4>
      </vt:variant>
      <vt:variant>
        <vt:i4>237</vt:i4>
      </vt:variant>
      <vt:variant>
        <vt:i4>0</vt:i4>
      </vt:variant>
      <vt:variant>
        <vt:i4>5</vt:i4>
      </vt:variant>
      <vt:variant>
        <vt:lpwstr/>
      </vt:variant>
      <vt:variant>
        <vt:lpwstr>tdm_livre_II</vt:lpwstr>
      </vt:variant>
      <vt:variant>
        <vt:i4>983062</vt:i4>
      </vt:variant>
      <vt:variant>
        <vt:i4>234</vt:i4>
      </vt:variant>
      <vt:variant>
        <vt:i4>0</vt:i4>
      </vt:variant>
      <vt:variant>
        <vt:i4>5</vt:i4>
      </vt:variant>
      <vt:variant>
        <vt:lpwstr/>
      </vt:variant>
      <vt:variant>
        <vt:lpwstr>tdm_livre_II</vt:lpwstr>
      </vt:variant>
      <vt:variant>
        <vt:i4>983062</vt:i4>
      </vt:variant>
      <vt:variant>
        <vt:i4>231</vt:i4>
      </vt:variant>
      <vt:variant>
        <vt:i4>0</vt:i4>
      </vt:variant>
      <vt:variant>
        <vt:i4>5</vt:i4>
      </vt:variant>
      <vt:variant>
        <vt:lpwstr/>
      </vt:variant>
      <vt:variant>
        <vt:lpwstr>tdm_livre_II</vt:lpwstr>
      </vt:variant>
      <vt:variant>
        <vt:i4>983062</vt:i4>
      </vt:variant>
      <vt:variant>
        <vt:i4>228</vt:i4>
      </vt:variant>
      <vt:variant>
        <vt:i4>0</vt:i4>
      </vt:variant>
      <vt:variant>
        <vt:i4>5</vt:i4>
      </vt:variant>
      <vt:variant>
        <vt:lpwstr/>
      </vt:variant>
      <vt:variant>
        <vt:lpwstr>tdm_livre_II</vt:lpwstr>
      </vt:variant>
      <vt:variant>
        <vt:i4>983062</vt:i4>
      </vt:variant>
      <vt:variant>
        <vt:i4>225</vt:i4>
      </vt:variant>
      <vt:variant>
        <vt:i4>0</vt:i4>
      </vt:variant>
      <vt:variant>
        <vt:i4>5</vt:i4>
      </vt:variant>
      <vt:variant>
        <vt:lpwstr/>
      </vt:variant>
      <vt:variant>
        <vt:lpwstr>tdm_livre_II</vt:lpwstr>
      </vt:variant>
      <vt:variant>
        <vt:i4>983062</vt:i4>
      </vt:variant>
      <vt:variant>
        <vt:i4>222</vt:i4>
      </vt:variant>
      <vt:variant>
        <vt:i4>0</vt:i4>
      </vt:variant>
      <vt:variant>
        <vt:i4>5</vt:i4>
      </vt:variant>
      <vt:variant>
        <vt:lpwstr/>
      </vt:variant>
      <vt:variant>
        <vt:lpwstr>tdm_livre_II</vt:lpwstr>
      </vt:variant>
      <vt:variant>
        <vt:i4>983062</vt:i4>
      </vt:variant>
      <vt:variant>
        <vt:i4>219</vt:i4>
      </vt:variant>
      <vt:variant>
        <vt:i4>0</vt:i4>
      </vt:variant>
      <vt:variant>
        <vt:i4>5</vt:i4>
      </vt:variant>
      <vt:variant>
        <vt:lpwstr/>
      </vt:variant>
      <vt:variant>
        <vt:lpwstr>tdm_livre_II</vt:lpwstr>
      </vt:variant>
      <vt:variant>
        <vt:i4>983062</vt:i4>
      </vt:variant>
      <vt:variant>
        <vt:i4>216</vt:i4>
      </vt:variant>
      <vt:variant>
        <vt:i4>0</vt:i4>
      </vt:variant>
      <vt:variant>
        <vt:i4>5</vt:i4>
      </vt:variant>
      <vt:variant>
        <vt:lpwstr/>
      </vt:variant>
      <vt:variant>
        <vt:lpwstr>tdm_livre_II</vt:lpwstr>
      </vt:variant>
      <vt:variant>
        <vt:i4>983062</vt:i4>
      </vt:variant>
      <vt:variant>
        <vt:i4>213</vt:i4>
      </vt:variant>
      <vt:variant>
        <vt:i4>0</vt:i4>
      </vt:variant>
      <vt:variant>
        <vt:i4>5</vt:i4>
      </vt:variant>
      <vt:variant>
        <vt:lpwstr/>
      </vt:variant>
      <vt:variant>
        <vt:lpwstr>tdm_livre_II</vt:lpwstr>
      </vt:variant>
      <vt:variant>
        <vt:i4>983062</vt:i4>
      </vt:variant>
      <vt:variant>
        <vt:i4>210</vt:i4>
      </vt:variant>
      <vt:variant>
        <vt:i4>0</vt:i4>
      </vt:variant>
      <vt:variant>
        <vt:i4>5</vt:i4>
      </vt:variant>
      <vt:variant>
        <vt:lpwstr/>
      </vt:variant>
      <vt:variant>
        <vt:lpwstr>tdm_livre_II</vt:lpwstr>
      </vt:variant>
      <vt:variant>
        <vt:i4>983062</vt:i4>
      </vt:variant>
      <vt:variant>
        <vt:i4>207</vt:i4>
      </vt:variant>
      <vt:variant>
        <vt:i4>0</vt:i4>
      </vt:variant>
      <vt:variant>
        <vt:i4>5</vt:i4>
      </vt:variant>
      <vt:variant>
        <vt:lpwstr/>
      </vt:variant>
      <vt:variant>
        <vt:lpwstr>tdm_livre_II</vt:lpwstr>
      </vt:variant>
      <vt:variant>
        <vt:i4>983062</vt:i4>
      </vt:variant>
      <vt:variant>
        <vt:i4>204</vt:i4>
      </vt:variant>
      <vt:variant>
        <vt:i4>0</vt:i4>
      </vt:variant>
      <vt:variant>
        <vt:i4>5</vt:i4>
      </vt:variant>
      <vt:variant>
        <vt:lpwstr/>
      </vt:variant>
      <vt:variant>
        <vt:lpwstr>tdm_livre_II</vt:lpwstr>
      </vt:variant>
      <vt:variant>
        <vt:i4>983062</vt:i4>
      </vt:variant>
      <vt:variant>
        <vt:i4>201</vt:i4>
      </vt:variant>
      <vt:variant>
        <vt:i4>0</vt:i4>
      </vt:variant>
      <vt:variant>
        <vt:i4>5</vt:i4>
      </vt:variant>
      <vt:variant>
        <vt:lpwstr/>
      </vt:variant>
      <vt:variant>
        <vt:lpwstr>tdm_livre_II</vt:lpwstr>
      </vt:variant>
      <vt:variant>
        <vt:i4>983062</vt:i4>
      </vt:variant>
      <vt:variant>
        <vt:i4>198</vt:i4>
      </vt:variant>
      <vt:variant>
        <vt:i4>0</vt:i4>
      </vt:variant>
      <vt:variant>
        <vt:i4>5</vt:i4>
      </vt:variant>
      <vt:variant>
        <vt:lpwstr/>
      </vt:variant>
      <vt:variant>
        <vt:lpwstr>tdm_livre_II</vt:lpwstr>
      </vt:variant>
      <vt:variant>
        <vt:i4>983062</vt:i4>
      </vt:variant>
      <vt:variant>
        <vt:i4>195</vt:i4>
      </vt:variant>
      <vt:variant>
        <vt:i4>0</vt:i4>
      </vt:variant>
      <vt:variant>
        <vt:i4>5</vt:i4>
      </vt:variant>
      <vt:variant>
        <vt:lpwstr/>
      </vt:variant>
      <vt:variant>
        <vt:lpwstr>tdm_livre_II</vt:lpwstr>
      </vt:variant>
      <vt:variant>
        <vt:i4>983062</vt:i4>
      </vt:variant>
      <vt:variant>
        <vt:i4>192</vt:i4>
      </vt:variant>
      <vt:variant>
        <vt:i4>0</vt:i4>
      </vt:variant>
      <vt:variant>
        <vt:i4>5</vt:i4>
      </vt:variant>
      <vt:variant>
        <vt:lpwstr/>
      </vt:variant>
      <vt:variant>
        <vt:lpwstr>tdm_livre_II</vt:lpwstr>
      </vt:variant>
      <vt:variant>
        <vt:i4>983062</vt:i4>
      </vt:variant>
      <vt:variant>
        <vt:i4>189</vt:i4>
      </vt:variant>
      <vt:variant>
        <vt:i4>0</vt:i4>
      </vt:variant>
      <vt:variant>
        <vt:i4>5</vt:i4>
      </vt:variant>
      <vt:variant>
        <vt:lpwstr/>
      </vt:variant>
      <vt:variant>
        <vt:lpwstr>tdm_livre_II</vt:lpwstr>
      </vt:variant>
      <vt:variant>
        <vt:i4>983062</vt:i4>
      </vt:variant>
      <vt:variant>
        <vt:i4>186</vt:i4>
      </vt:variant>
      <vt:variant>
        <vt:i4>0</vt:i4>
      </vt:variant>
      <vt:variant>
        <vt:i4>5</vt:i4>
      </vt:variant>
      <vt:variant>
        <vt:lpwstr/>
      </vt:variant>
      <vt:variant>
        <vt:lpwstr>tdm_livre_II</vt:lpwstr>
      </vt:variant>
      <vt:variant>
        <vt:i4>983062</vt:i4>
      </vt:variant>
      <vt:variant>
        <vt:i4>183</vt:i4>
      </vt:variant>
      <vt:variant>
        <vt:i4>0</vt:i4>
      </vt:variant>
      <vt:variant>
        <vt:i4>5</vt:i4>
      </vt:variant>
      <vt:variant>
        <vt:lpwstr/>
      </vt:variant>
      <vt:variant>
        <vt:lpwstr>tdm_livre_II</vt:lpwstr>
      </vt:variant>
      <vt:variant>
        <vt:i4>983062</vt:i4>
      </vt:variant>
      <vt:variant>
        <vt:i4>180</vt:i4>
      </vt:variant>
      <vt:variant>
        <vt:i4>0</vt:i4>
      </vt:variant>
      <vt:variant>
        <vt:i4>5</vt:i4>
      </vt:variant>
      <vt:variant>
        <vt:lpwstr/>
      </vt:variant>
      <vt:variant>
        <vt:lpwstr>tdm_livre_II</vt:lpwstr>
      </vt:variant>
      <vt:variant>
        <vt:i4>983062</vt:i4>
      </vt:variant>
      <vt:variant>
        <vt:i4>177</vt:i4>
      </vt:variant>
      <vt:variant>
        <vt:i4>0</vt:i4>
      </vt:variant>
      <vt:variant>
        <vt:i4>5</vt:i4>
      </vt:variant>
      <vt:variant>
        <vt:lpwstr/>
      </vt:variant>
      <vt:variant>
        <vt:lpwstr>tdm_livre_II</vt:lpwstr>
      </vt:variant>
      <vt:variant>
        <vt:i4>983062</vt:i4>
      </vt:variant>
      <vt:variant>
        <vt:i4>174</vt:i4>
      </vt:variant>
      <vt:variant>
        <vt:i4>0</vt:i4>
      </vt:variant>
      <vt:variant>
        <vt:i4>5</vt:i4>
      </vt:variant>
      <vt:variant>
        <vt:lpwstr/>
      </vt:variant>
      <vt:variant>
        <vt:lpwstr>tdm_livre_II</vt:lpwstr>
      </vt:variant>
      <vt:variant>
        <vt:i4>983062</vt:i4>
      </vt:variant>
      <vt:variant>
        <vt:i4>171</vt:i4>
      </vt:variant>
      <vt:variant>
        <vt:i4>0</vt:i4>
      </vt:variant>
      <vt:variant>
        <vt:i4>5</vt:i4>
      </vt:variant>
      <vt:variant>
        <vt:lpwstr/>
      </vt:variant>
      <vt:variant>
        <vt:lpwstr>tdm_livre_II</vt:lpwstr>
      </vt:variant>
      <vt:variant>
        <vt:i4>983062</vt:i4>
      </vt:variant>
      <vt:variant>
        <vt:i4>168</vt:i4>
      </vt:variant>
      <vt:variant>
        <vt:i4>0</vt:i4>
      </vt:variant>
      <vt:variant>
        <vt:i4>5</vt:i4>
      </vt:variant>
      <vt:variant>
        <vt:lpwstr/>
      </vt:variant>
      <vt:variant>
        <vt:lpwstr>tdm_livre_II</vt:lpwstr>
      </vt:variant>
      <vt:variant>
        <vt:i4>983062</vt:i4>
      </vt:variant>
      <vt:variant>
        <vt:i4>165</vt:i4>
      </vt:variant>
      <vt:variant>
        <vt:i4>0</vt:i4>
      </vt:variant>
      <vt:variant>
        <vt:i4>5</vt:i4>
      </vt:variant>
      <vt:variant>
        <vt:lpwstr/>
      </vt:variant>
      <vt:variant>
        <vt:lpwstr>tdm_livre_II</vt:lpwstr>
      </vt:variant>
      <vt:variant>
        <vt:i4>983062</vt:i4>
      </vt:variant>
      <vt:variant>
        <vt:i4>162</vt:i4>
      </vt:variant>
      <vt:variant>
        <vt:i4>0</vt:i4>
      </vt:variant>
      <vt:variant>
        <vt:i4>5</vt:i4>
      </vt:variant>
      <vt:variant>
        <vt:lpwstr/>
      </vt:variant>
      <vt:variant>
        <vt:lpwstr>tdm_livre_II</vt:lpwstr>
      </vt:variant>
      <vt:variant>
        <vt:i4>983062</vt:i4>
      </vt:variant>
      <vt:variant>
        <vt:i4>159</vt:i4>
      </vt:variant>
      <vt:variant>
        <vt:i4>0</vt:i4>
      </vt:variant>
      <vt:variant>
        <vt:i4>5</vt:i4>
      </vt:variant>
      <vt:variant>
        <vt:lpwstr/>
      </vt:variant>
      <vt:variant>
        <vt:lpwstr>tdm_livre_II</vt:lpwstr>
      </vt:variant>
      <vt:variant>
        <vt:i4>983062</vt:i4>
      </vt:variant>
      <vt:variant>
        <vt:i4>156</vt:i4>
      </vt:variant>
      <vt:variant>
        <vt:i4>0</vt:i4>
      </vt:variant>
      <vt:variant>
        <vt:i4>5</vt:i4>
      </vt:variant>
      <vt:variant>
        <vt:lpwstr/>
      </vt:variant>
      <vt:variant>
        <vt:lpwstr>tdm_livre_II</vt:lpwstr>
      </vt:variant>
      <vt:variant>
        <vt:i4>983062</vt:i4>
      </vt:variant>
      <vt:variant>
        <vt:i4>153</vt:i4>
      </vt:variant>
      <vt:variant>
        <vt:i4>0</vt:i4>
      </vt:variant>
      <vt:variant>
        <vt:i4>5</vt:i4>
      </vt:variant>
      <vt:variant>
        <vt:lpwstr/>
      </vt:variant>
      <vt:variant>
        <vt:lpwstr>tdm_livre_II</vt:lpwstr>
      </vt:variant>
      <vt:variant>
        <vt:i4>5177359</vt:i4>
      </vt:variant>
      <vt:variant>
        <vt:i4>150</vt:i4>
      </vt:variant>
      <vt:variant>
        <vt:i4>0</vt:i4>
      </vt:variant>
      <vt:variant>
        <vt:i4>5</vt:i4>
      </vt:variant>
      <vt:variant>
        <vt:lpwstr/>
      </vt:variant>
      <vt:variant>
        <vt:lpwstr>livre_2_chap_9_5</vt:lpwstr>
      </vt:variant>
      <vt:variant>
        <vt:i4>5177358</vt:i4>
      </vt:variant>
      <vt:variant>
        <vt:i4>147</vt:i4>
      </vt:variant>
      <vt:variant>
        <vt:i4>0</vt:i4>
      </vt:variant>
      <vt:variant>
        <vt:i4>5</vt:i4>
      </vt:variant>
      <vt:variant>
        <vt:lpwstr/>
      </vt:variant>
      <vt:variant>
        <vt:lpwstr>livre_2_chap_9_4</vt:lpwstr>
      </vt:variant>
      <vt:variant>
        <vt:i4>5177353</vt:i4>
      </vt:variant>
      <vt:variant>
        <vt:i4>144</vt:i4>
      </vt:variant>
      <vt:variant>
        <vt:i4>0</vt:i4>
      </vt:variant>
      <vt:variant>
        <vt:i4>5</vt:i4>
      </vt:variant>
      <vt:variant>
        <vt:lpwstr/>
      </vt:variant>
      <vt:variant>
        <vt:lpwstr>livre_2_chap_9_3</vt:lpwstr>
      </vt:variant>
      <vt:variant>
        <vt:i4>5177352</vt:i4>
      </vt:variant>
      <vt:variant>
        <vt:i4>141</vt:i4>
      </vt:variant>
      <vt:variant>
        <vt:i4>0</vt:i4>
      </vt:variant>
      <vt:variant>
        <vt:i4>5</vt:i4>
      </vt:variant>
      <vt:variant>
        <vt:lpwstr/>
      </vt:variant>
      <vt:variant>
        <vt:lpwstr>livre_2_chap_9_2</vt:lpwstr>
      </vt:variant>
      <vt:variant>
        <vt:i4>5177355</vt:i4>
      </vt:variant>
      <vt:variant>
        <vt:i4>138</vt:i4>
      </vt:variant>
      <vt:variant>
        <vt:i4>0</vt:i4>
      </vt:variant>
      <vt:variant>
        <vt:i4>5</vt:i4>
      </vt:variant>
      <vt:variant>
        <vt:lpwstr/>
      </vt:variant>
      <vt:variant>
        <vt:lpwstr>livre_2_chap_9_1</vt:lpwstr>
      </vt:variant>
      <vt:variant>
        <vt:i4>1048634</vt:i4>
      </vt:variant>
      <vt:variant>
        <vt:i4>135</vt:i4>
      </vt:variant>
      <vt:variant>
        <vt:i4>0</vt:i4>
      </vt:variant>
      <vt:variant>
        <vt:i4>5</vt:i4>
      </vt:variant>
      <vt:variant>
        <vt:lpwstr/>
      </vt:variant>
      <vt:variant>
        <vt:lpwstr>livre_2_chap_9</vt:lpwstr>
      </vt:variant>
      <vt:variant>
        <vt:i4>5177357</vt:i4>
      </vt:variant>
      <vt:variant>
        <vt:i4>132</vt:i4>
      </vt:variant>
      <vt:variant>
        <vt:i4>0</vt:i4>
      </vt:variant>
      <vt:variant>
        <vt:i4>5</vt:i4>
      </vt:variant>
      <vt:variant>
        <vt:lpwstr/>
      </vt:variant>
      <vt:variant>
        <vt:lpwstr>livre_2_chap_8_6</vt:lpwstr>
      </vt:variant>
      <vt:variant>
        <vt:i4>5177358</vt:i4>
      </vt:variant>
      <vt:variant>
        <vt:i4>129</vt:i4>
      </vt:variant>
      <vt:variant>
        <vt:i4>0</vt:i4>
      </vt:variant>
      <vt:variant>
        <vt:i4>5</vt:i4>
      </vt:variant>
      <vt:variant>
        <vt:lpwstr/>
      </vt:variant>
      <vt:variant>
        <vt:lpwstr>livre_2_chap_8_5</vt:lpwstr>
      </vt:variant>
      <vt:variant>
        <vt:i4>5177359</vt:i4>
      </vt:variant>
      <vt:variant>
        <vt:i4>126</vt:i4>
      </vt:variant>
      <vt:variant>
        <vt:i4>0</vt:i4>
      </vt:variant>
      <vt:variant>
        <vt:i4>5</vt:i4>
      </vt:variant>
      <vt:variant>
        <vt:lpwstr/>
      </vt:variant>
      <vt:variant>
        <vt:lpwstr>livre_2_chap_8_4</vt:lpwstr>
      </vt:variant>
      <vt:variant>
        <vt:i4>5177352</vt:i4>
      </vt:variant>
      <vt:variant>
        <vt:i4>123</vt:i4>
      </vt:variant>
      <vt:variant>
        <vt:i4>0</vt:i4>
      </vt:variant>
      <vt:variant>
        <vt:i4>5</vt:i4>
      </vt:variant>
      <vt:variant>
        <vt:lpwstr/>
      </vt:variant>
      <vt:variant>
        <vt:lpwstr>livre_2_chap_8_3</vt:lpwstr>
      </vt:variant>
      <vt:variant>
        <vt:i4>5177353</vt:i4>
      </vt:variant>
      <vt:variant>
        <vt:i4>120</vt:i4>
      </vt:variant>
      <vt:variant>
        <vt:i4>0</vt:i4>
      </vt:variant>
      <vt:variant>
        <vt:i4>5</vt:i4>
      </vt:variant>
      <vt:variant>
        <vt:lpwstr/>
      </vt:variant>
      <vt:variant>
        <vt:lpwstr>livre_2_chap_8_2</vt:lpwstr>
      </vt:variant>
      <vt:variant>
        <vt:i4>5177354</vt:i4>
      </vt:variant>
      <vt:variant>
        <vt:i4>117</vt:i4>
      </vt:variant>
      <vt:variant>
        <vt:i4>0</vt:i4>
      </vt:variant>
      <vt:variant>
        <vt:i4>5</vt:i4>
      </vt:variant>
      <vt:variant>
        <vt:lpwstr/>
      </vt:variant>
      <vt:variant>
        <vt:lpwstr>livre_2_chap_8_1</vt:lpwstr>
      </vt:variant>
      <vt:variant>
        <vt:i4>1048635</vt:i4>
      </vt:variant>
      <vt:variant>
        <vt:i4>114</vt:i4>
      </vt:variant>
      <vt:variant>
        <vt:i4>0</vt:i4>
      </vt:variant>
      <vt:variant>
        <vt:i4>5</vt:i4>
      </vt:variant>
      <vt:variant>
        <vt:lpwstr/>
      </vt:variant>
      <vt:variant>
        <vt:lpwstr>livre_2_chap_8</vt:lpwstr>
      </vt:variant>
      <vt:variant>
        <vt:i4>5177346</vt:i4>
      </vt:variant>
      <vt:variant>
        <vt:i4>111</vt:i4>
      </vt:variant>
      <vt:variant>
        <vt:i4>0</vt:i4>
      </vt:variant>
      <vt:variant>
        <vt:i4>5</vt:i4>
      </vt:variant>
      <vt:variant>
        <vt:lpwstr/>
      </vt:variant>
      <vt:variant>
        <vt:lpwstr>livre_2_chap_7_6</vt:lpwstr>
      </vt:variant>
      <vt:variant>
        <vt:i4>5177345</vt:i4>
      </vt:variant>
      <vt:variant>
        <vt:i4>108</vt:i4>
      </vt:variant>
      <vt:variant>
        <vt:i4>0</vt:i4>
      </vt:variant>
      <vt:variant>
        <vt:i4>5</vt:i4>
      </vt:variant>
      <vt:variant>
        <vt:lpwstr/>
      </vt:variant>
      <vt:variant>
        <vt:lpwstr>livre_2_chap_7_5</vt:lpwstr>
      </vt:variant>
      <vt:variant>
        <vt:i4>5177344</vt:i4>
      </vt:variant>
      <vt:variant>
        <vt:i4>105</vt:i4>
      </vt:variant>
      <vt:variant>
        <vt:i4>0</vt:i4>
      </vt:variant>
      <vt:variant>
        <vt:i4>5</vt:i4>
      </vt:variant>
      <vt:variant>
        <vt:lpwstr/>
      </vt:variant>
      <vt:variant>
        <vt:lpwstr>livre_2_chap_7_4</vt:lpwstr>
      </vt:variant>
      <vt:variant>
        <vt:i4>5177351</vt:i4>
      </vt:variant>
      <vt:variant>
        <vt:i4>102</vt:i4>
      </vt:variant>
      <vt:variant>
        <vt:i4>0</vt:i4>
      </vt:variant>
      <vt:variant>
        <vt:i4>5</vt:i4>
      </vt:variant>
      <vt:variant>
        <vt:lpwstr/>
      </vt:variant>
      <vt:variant>
        <vt:lpwstr>livre_2_chap_7_3</vt:lpwstr>
      </vt:variant>
      <vt:variant>
        <vt:i4>5177350</vt:i4>
      </vt:variant>
      <vt:variant>
        <vt:i4>99</vt:i4>
      </vt:variant>
      <vt:variant>
        <vt:i4>0</vt:i4>
      </vt:variant>
      <vt:variant>
        <vt:i4>5</vt:i4>
      </vt:variant>
      <vt:variant>
        <vt:lpwstr/>
      </vt:variant>
      <vt:variant>
        <vt:lpwstr>livre_2_chap_7_2</vt:lpwstr>
      </vt:variant>
      <vt:variant>
        <vt:i4>5177349</vt:i4>
      </vt:variant>
      <vt:variant>
        <vt:i4>96</vt:i4>
      </vt:variant>
      <vt:variant>
        <vt:i4>0</vt:i4>
      </vt:variant>
      <vt:variant>
        <vt:i4>5</vt:i4>
      </vt:variant>
      <vt:variant>
        <vt:lpwstr/>
      </vt:variant>
      <vt:variant>
        <vt:lpwstr>livre_2_chap_7_1</vt:lpwstr>
      </vt:variant>
      <vt:variant>
        <vt:i4>1048628</vt:i4>
      </vt:variant>
      <vt:variant>
        <vt:i4>93</vt:i4>
      </vt:variant>
      <vt:variant>
        <vt:i4>0</vt:i4>
      </vt:variant>
      <vt:variant>
        <vt:i4>5</vt:i4>
      </vt:variant>
      <vt:variant>
        <vt:lpwstr/>
      </vt:variant>
      <vt:variant>
        <vt:lpwstr>livre_2_chap_7</vt:lpwstr>
      </vt:variant>
      <vt:variant>
        <vt:i4>5177345</vt:i4>
      </vt:variant>
      <vt:variant>
        <vt:i4>90</vt:i4>
      </vt:variant>
      <vt:variant>
        <vt:i4>0</vt:i4>
      </vt:variant>
      <vt:variant>
        <vt:i4>5</vt:i4>
      </vt:variant>
      <vt:variant>
        <vt:lpwstr/>
      </vt:variant>
      <vt:variant>
        <vt:lpwstr>livre_2_chap_6_4</vt:lpwstr>
      </vt:variant>
      <vt:variant>
        <vt:i4>5177350</vt:i4>
      </vt:variant>
      <vt:variant>
        <vt:i4>87</vt:i4>
      </vt:variant>
      <vt:variant>
        <vt:i4>0</vt:i4>
      </vt:variant>
      <vt:variant>
        <vt:i4>5</vt:i4>
      </vt:variant>
      <vt:variant>
        <vt:lpwstr/>
      </vt:variant>
      <vt:variant>
        <vt:lpwstr>livre_2_chap_6_3</vt:lpwstr>
      </vt:variant>
      <vt:variant>
        <vt:i4>5177351</vt:i4>
      </vt:variant>
      <vt:variant>
        <vt:i4>84</vt:i4>
      </vt:variant>
      <vt:variant>
        <vt:i4>0</vt:i4>
      </vt:variant>
      <vt:variant>
        <vt:i4>5</vt:i4>
      </vt:variant>
      <vt:variant>
        <vt:lpwstr/>
      </vt:variant>
      <vt:variant>
        <vt:lpwstr>livre_2_chap_6_2</vt:lpwstr>
      </vt:variant>
      <vt:variant>
        <vt:i4>5177348</vt:i4>
      </vt:variant>
      <vt:variant>
        <vt:i4>81</vt:i4>
      </vt:variant>
      <vt:variant>
        <vt:i4>0</vt:i4>
      </vt:variant>
      <vt:variant>
        <vt:i4>5</vt:i4>
      </vt:variant>
      <vt:variant>
        <vt:lpwstr/>
      </vt:variant>
      <vt:variant>
        <vt:lpwstr>livre_2_chap_6_1</vt:lpwstr>
      </vt:variant>
      <vt:variant>
        <vt:i4>1048629</vt:i4>
      </vt:variant>
      <vt:variant>
        <vt:i4>78</vt:i4>
      </vt:variant>
      <vt:variant>
        <vt:i4>0</vt:i4>
      </vt:variant>
      <vt:variant>
        <vt:i4>5</vt:i4>
      </vt:variant>
      <vt:variant>
        <vt:lpwstr/>
      </vt:variant>
      <vt:variant>
        <vt:lpwstr>livre_2_chap_6</vt:lpwstr>
      </vt:variant>
      <vt:variant>
        <vt:i4>5177347</vt:i4>
      </vt:variant>
      <vt:variant>
        <vt:i4>75</vt:i4>
      </vt:variant>
      <vt:variant>
        <vt:i4>0</vt:i4>
      </vt:variant>
      <vt:variant>
        <vt:i4>5</vt:i4>
      </vt:variant>
      <vt:variant>
        <vt:lpwstr/>
      </vt:variant>
      <vt:variant>
        <vt:lpwstr>livre_2_chap_5_5</vt:lpwstr>
      </vt:variant>
      <vt:variant>
        <vt:i4>5177346</vt:i4>
      </vt:variant>
      <vt:variant>
        <vt:i4>72</vt:i4>
      </vt:variant>
      <vt:variant>
        <vt:i4>0</vt:i4>
      </vt:variant>
      <vt:variant>
        <vt:i4>5</vt:i4>
      </vt:variant>
      <vt:variant>
        <vt:lpwstr/>
      </vt:variant>
      <vt:variant>
        <vt:lpwstr>livre_2_chap_5_4</vt:lpwstr>
      </vt:variant>
      <vt:variant>
        <vt:i4>5177349</vt:i4>
      </vt:variant>
      <vt:variant>
        <vt:i4>69</vt:i4>
      </vt:variant>
      <vt:variant>
        <vt:i4>0</vt:i4>
      </vt:variant>
      <vt:variant>
        <vt:i4>5</vt:i4>
      </vt:variant>
      <vt:variant>
        <vt:lpwstr/>
      </vt:variant>
      <vt:variant>
        <vt:lpwstr>livre_2_chap_5_3</vt:lpwstr>
      </vt:variant>
      <vt:variant>
        <vt:i4>5177348</vt:i4>
      </vt:variant>
      <vt:variant>
        <vt:i4>66</vt:i4>
      </vt:variant>
      <vt:variant>
        <vt:i4>0</vt:i4>
      </vt:variant>
      <vt:variant>
        <vt:i4>5</vt:i4>
      </vt:variant>
      <vt:variant>
        <vt:lpwstr/>
      </vt:variant>
      <vt:variant>
        <vt:lpwstr>livre_2_chap_5_2</vt:lpwstr>
      </vt:variant>
      <vt:variant>
        <vt:i4>5177351</vt:i4>
      </vt:variant>
      <vt:variant>
        <vt:i4>63</vt:i4>
      </vt:variant>
      <vt:variant>
        <vt:i4>0</vt:i4>
      </vt:variant>
      <vt:variant>
        <vt:i4>5</vt:i4>
      </vt:variant>
      <vt:variant>
        <vt:lpwstr/>
      </vt:variant>
      <vt:variant>
        <vt:lpwstr>livre_2_chap_5_1</vt:lpwstr>
      </vt:variant>
      <vt:variant>
        <vt:i4>1048630</vt:i4>
      </vt:variant>
      <vt:variant>
        <vt:i4>60</vt:i4>
      </vt:variant>
      <vt:variant>
        <vt:i4>0</vt:i4>
      </vt:variant>
      <vt:variant>
        <vt:i4>5</vt:i4>
      </vt:variant>
      <vt:variant>
        <vt:lpwstr/>
      </vt:variant>
      <vt:variant>
        <vt:lpwstr>livre_2_chap_5</vt:lpwstr>
      </vt:variant>
      <vt:variant>
        <vt:i4>5177349</vt:i4>
      </vt:variant>
      <vt:variant>
        <vt:i4>57</vt:i4>
      </vt:variant>
      <vt:variant>
        <vt:i4>0</vt:i4>
      </vt:variant>
      <vt:variant>
        <vt:i4>5</vt:i4>
      </vt:variant>
      <vt:variant>
        <vt:lpwstr/>
      </vt:variant>
      <vt:variant>
        <vt:lpwstr>livre_2_chap_4_2</vt:lpwstr>
      </vt:variant>
      <vt:variant>
        <vt:i4>5177350</vt:i4>
      </vt:variant>
      <vt:variant>
        <vt:i4>54</vt:i4>
      </vt:variant>
      <vt:variant>
        <vt:i4>0</vt:i4>
      </vt:variant>
      <vt:variant>
        <vt:i4>5</vt:i4>
      </vt:variant>
      <vt:variant>
        <vt:lpwstr/>
      </vt:variant>
      <vt:variant>
        <vt:lpwstr>livre_2_chap_4_1</vt:lpwstr>
      </vt:variant>
      <vt:variant>
        <vt:i4>1048631</vt:i4>
      </vt:variant>
      <vt:variant>
        <vt:i4>51</vt:i4>
      </vt:variant>
      <vt:variant>
        <vt:i4>0</vt:i4>
      </vt:variant>
      <vt:variant>
        <vt:i4>5</vt:i4>
      </vt:variant>
      <vt:variant>
        <vt:lpwstr/>
      </vt:variant>
      <vt:variant>
        <vt:lpwstr>livre_2_chap_4</vt:lpwstr>
      </vt:variant>
      <vt:variant>
        <vt:i4>5177347</vt:i4>
      </vt:variant>
      <vt:variant>
        <vt:i4>48</vt:i4>
      </vt:variant>
      <vt:variant>
        <vt:i4>0</vt:i4>
      </vt:variant>
      <vt:variant>
        <vt:i4>5</vt:i4>
      </vt:variant>
      <vt:variant>
        <vt:lpwstr/>
      </vt:variant>
      <vt:variant>
        <vt:lpwstr>livre_2_chap_3_3</vt:lpwstr>
      </vt:variant>
      <vt:variant>
        <vt:i4>5177346</vt:i4>
      </vt:variant>
      <vt:variant>
        <vt:i4>45</vt:i4>
      </vt:variant>
      <vt:variant>
        <vt:i4>0</vt:i4>
      </vt:variant>
      <vt:variant>
        <vt:i4>5</vt:i4>
      </vt:variant>
      <vt:variant>
        <vt:lpwstr/>
      </vt:variant>
      <vt:variant>
        <vt:lpwstr>livre_2_chap_3_2</vt:lpwstr>
      </vt:variant>
      <vt:variant>
        <vt:i4>5177345</vt:i4>
      </vt:variant>
      <vt:variant>
        <vt:i4>42</vt:i4>
      </vt:variant>
      <vt:variant>
        <vt:i4>0</vt:i4>
      </vt:variant>
      <vt:variant>
        <vt:i4>5</vt:i4>
      </vt:variant>
      <vt:variant>
        <vt:lpwstr/>
      </vt:variant>
      <vt:variant>
        <vt:lpwstr>livre_2_chap_3_1</vt:lpwstr>
      </vt:variant>
      <vt:variant>
        <vt:i4>1048624</vt:i4>
      </vt:variant>
      <vt:variant>
        <vt:i4>39</vt:i4>
      </vt:variant>
      <vt:variant>
        <vt:i4>0</vt:i4>
      </vt:variant>
      <vt:variant>
        <vt:i4>5</vt:i4>
      </vt:variant>
      <vt:variant>
        <vt:lpwstr/>
      </vt:variant>
      <vt:variant>
        <vt:lpwstr>livre_2_chap_3</vt:lpwstr>
      </vt:variant>
      <vt:variant>
        <vt:i4>5177347</vt:i4>
      </vt:variant>
      <vt:variant>
        <vt:i4>36</vt:i4>
      </vt:variant>
      <vt:variant>
        <vt:i4>0</vt:i4>
      </vt:variant>
      <vt:variant>
        <vt:i4>5</vt:i4>
      </vt:variant>
      <vt:variant>
        <vt:lpwstr/>
      </vt:variant>
      <vt:variant>
        <vt:lpwstr>livre_2_chap_2_2</vt:lpwstr>
      </vt:variant>
      <vt:variant>
        <vt:i4>5177344</vt:i4>
      </vt:variant>
      <vt:variant>
        <vt:i4>33</vt:i4>
      </vt:variant>
      <vt:variant>
        <vt:i4>0</vt:i4>
      </vt:variant>
      <vt:variant>
        <vt:i4>5</vt:i4>
      </vt:variant>
      <vt:variant>
        <vt:lpwstr/>
      </vt:variant>
      <vt:variant>
        <vt:lpwstr>livre_2_chap_2_1</vt:lpwstr>
      </vt:variant>
      <vt:variant>
        <vt:i4>1048625</vt:i4>
      </vt:variant>
      <vt:variant>
        <vt:i4>30</vt:i4>
      </vt:variant>
      <vt:variant>
        <vt:i4>0</vt:i4>
      </vt:variant>
      <vt:variant>
        <vt:i4>5</vt:i4>
      </vt:variant>
      <vt:variant>
        <vt:lpwstr/>
      </vt:variant>
      <vt:variant>
        <vt:lpwstr>livre_2_chap_2</vt:lpwstr>
      </vt:variant>
      <vt:variant>
        <vt:i4>5177345</vt:i4>
      </vt:variant>
      <vt:variant>
        <vt:i4>27</vt:i4>
      </vt:variant>
      <vt:variant>
        <vt:i4>0</vt:i4>
      </vt:variant>
      <vt:variant>
        <vt:i4>5</vt:i4>
      </vt:variant>
      <vt:variant>
        <vt:lpwstr/>
      </vt:variant>
      <vt:variant>
        <vt:lpwstr>livre_2_chap_1_3</vt:lpwstr>
      </vt:variant>
      <vt:variant>
        <vt:i4>5177344</vt:i4>
      </vt:variant>
      <vt:variant>
        <vt:i4>24</vt:i4>
      </vt:variant>
      <vt:variant>
        <vt:i4>0</vt:i4>
      </vt:variant>
      <vt:variant>
        <vt:i4>5</vt:i4>
      </vt:variant>
      <vt:variant>
        <vt:lpwstr/>
      </vt:variant>
      <vt:variant>
        <vt:lpwstr>livre_2_chap_1_2</vt:lpwstr>
      </vt:variant>
      <vt:variant>
        <vt:i4>5177347</vt:i4>
      </vt:variant>
      <vt:variant>
        <vt:i4>21</vt:i4>
      </vt:variant>
      <vt:variant>
        <vt:i4>0</vt:i4>
      </vt:variant>
      <vt:variant>
        <vt:i4>5</vt:i4>
      </vt:variant>
      <vt:variant>
        <vt:lpwstr/>
      </vt:variant>
      <vt:variant>
        <vt:lpwstr>livre_2_chap_1_1</vt:lpwstr>
      </vt:variant>
      <vt:variant>
        <vt:i4>1048626</vt:i4>
      </vt:variant>
      <vt:variant>
        <vt:i4>18</vt:i4>
      </vt:variant>
      <vt:variant>
        <vt:i4>0</vt:i4>
      </vt:variant>
      <vt:variant>
        <vt:i4>5</vt:i4>
      </vt:variant>
      <vt:variant>
        <vt:lpwstr/>
      </vt:variant>
      <vt:variant>
        <vt:lpwstr>livre_2_chap_1</vt:lpwstr>
      </vt:variant>
      <vt:variant>
        <vt:i4>5046340</vt:i4>
      </vt:variant>
      <vt:variant>
        <vt:i4>15</vt:i4>
      </vt:variant>
      <vt:variant>
        <vt:i4>0</vt:i4>
      </vt:variant>
      <vt:variant>
        <vt:i4>5</vt:i4>
      </vt:variant>
      <vt:variant>
        <vt:lpwstr/>
      </vt:variant>
      <vt:variant>
        <vt:lpwstr>livre_2</vt:lpwstr>
      </vt:variant>
      <vt:variant>
        <vt:i4>983062</vt:i4>
      </vt:variant>
      <vt:variant>
        <vt:i4>12</vt:i4>
      </vt:variant>
      <vt:variant>
        <vt:i4>0</vt:i4>
      </vt:variant>
      <vt:variant>
        <vt:i4>5</vt:i4>
      </vt:variant>
      <vt:variant>
        <vt:lpwstr/>
      </vt:variant>
      <vt:variant>
        <vt:lpwstr>tdm_livre_II</vt:lpwstr>
      </vt:variant>
      <vt:variant>
        <vt:i4>1966119</vt:i4>
      </vt:variant>
      <vt:variant>
        <vt:i4>9</vt:i4>
      </vt:variant>
      <vt:variant>
        <vt:i4>0</vt:i4>
      </vt:variant>
      <vt:variant>
        <vt:i4>5</vt:i4>
      </vt:variant>
      <vt:variant>
        <vt:lpwstr>mailto:bertrand.gibier@ac-lille.fr</vt:lpwstr>
      </vt:variant>
      <vt:variant>
        <vt:lpwstr/>
      </vt:variant>
      <vt:variant>
        <vt:i4>4456534</vt:i4>
      </vt:variant>
      <vt:variant>
        <vt:i4>6</vt:i4>
      </vt:variant>
      <vt:variant>
        <vt:i4>0</vt:i4>
      </vt:variant>
      <vt:variant>
        <vt:i4>5</vt:i4>
      </vt:variant>
      <vt:variant>
        <vt:lpwstr>http://bibliotheque.uqac.ca/</vt:lpwstr>
      </vt:variant>
      <vt:variant>
        <vt:lpwstr/>
      </vt:variant>
      <vt:variant>
        <vt:i4>2228286</vt:i4>
      </vt:variant>
      <vt:variant>
        <vt:i4>3</vt:i4>
      </vt:variant>
      <vt:variant>
        <vt:i4>0</vt:i4>
      </vt:variant>
      <vt:variant>
        <vt:i4>5</vt:i4>
      </vt:variant>
      <vt:variant>
        <vt:lpwstr>http://classiques.uqac.ca/</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1769498</vt:i4>
      </vt:variant>
      <vt:variant>
        <vt:i4>4917</vt:i4>
      </vt:variant>
      <vt:variant>
        <vt:i4>1027</vt:i4>
      </vt:variant>
      <vt:variant>
        <vt:i4>1</vt:i4>
      </vt:variant>
      <vt:variant>
        <vt:lpwstr>fait_sur_mac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formes élémentaires de la vie religieuse. Livre II.</dc:title>
  <dc:subject>sociologie de la religion</dc:subject>
  <dc:creator>Émile Durkheim</dc:creator>
  <cp:keywords>Les Classiques des sciences sociales.</cp:keywords>
  <dc:description>http://classiques.uqac.ca/</dc:description>
  <cp:lastModifiedBy>Microsoft Office User</cp:lastModifiedBy>
  <cp:revision>2</cp:revision>
  <dcterms:created xsi:type="dcterms:W3CDTF">2019-05-22T06:25:00Z</dcterms:created>
  <dcterms:modified xsi:type="dcterms:W3CDTF">2019-05-22T06:25:00Z</dcterms:modified>
  <cp:category/>
</cp:coreProperties>
</file>